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rawing1.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iagrams/layout1.xml" ContentType="application/vnd.openxmlformats-officedocument.drawingml.diagramLayout+xml"/>
  <Default Extension="sldx" ContentType="application/vnd.openxmlformats-officedocument.presentationml.slide"/>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34A" w:rsidRPr="009761B2" w:rsidRDefault="009761B2" w:rsidP="009761B2">
      <w:pPr>
        <w:spacing w:after="0"/>
        <w:jc w:val="center"/>
        <w:rPr>
          <w:rFonts w:ascii="Times New Roman" w:hAnsi="Times New Roman" w:cs="Times New Roman"/>
          <w:b/>
          <w:i/>
          <w:sz w:val="28"/>
          <w:szCs w:val="28"/>
        </w:rPr>
      </w:pPr>
      <w:r w:rsidRPr="009761B2">
        <w:rPr>
          <w:rFonts w:ascii="Times New Roman" w:hAnsi="Times New Roman" w:cs="Times New Roman"/>
          <w:b/>
          <w:i/>
          <w:sz w:val="28"/>
          <w:szCs w:val="28"/>
        </w:rPr>
        <w:t>ИТОГИ</w:t>
      </w:r>
    </w:p>
    <w:p w:rsidR="009761B2" w:rsidRPr="009761B2" w:rsidRDefault="009761B2" w:rsidP="009761B2">
      <w:pPr>
        <w:spacing w:after="0"/>
        <w:jc w:val="center"/>
        <w:rPr>
          <w:rFonts w:ascii="Times New Roman" w:hAnsi="Times New Roman" w:cs="Times New Roman"/>
          <w:b/>
          <w:i/>
          <w:sz w:val="28"/>
          <w:szCs w:val="28"/>
        </w:rPr>
      </w:pPr>
      <w:r>
        <w:rPr>
          <w:rFonts w:ascii="Times New Roman" w:hAnsi="Times New Roman" w:cs="Times New Roman"/>
          <w:b/>
          <w:i/>
          <w:sz w:val="28"/>
          <w:szCs w:val="28"/>
        </w:rPr>
        <w:t>с</w:t>
      </w:r>
      <w:r w:rsidRPr="009761B2">
        <w:rPr>
          <w:rFonts w:ascii="Times New Roman" w:hAnsi="Times New Roman" w:cs="Times New Roman"/>
          <w:b/>
          <w:i/>
          <w:sz w:val="28"/>
          <w:szCs w:val="28"/>
        </w:rPr>
        <w:t>оциально-экономического развития</w:t>
      </w:r>
    </w:p>
    <w:p w:rsidR="009761B2" w:rsidRPr="009761B2" w:rsidRDefault="009761B2" w:rsidP="009761B2">
      <w:pPr>
        <w:spacing w:after="0"/>
        <w:jc w:val="center"/>
        <w:rPr>
          <w:rFonts w:ascii="Times New Roman" w:hAnsi="Times New Roman" w:cs="Times New Roman"/>
          <w:b/>
          <w:i/>
          <w:sz w:val="28"/>
          <w:szCs w:val="28"/>
        </w:rPr>
      </w:pPr>
      <w:r w:rsidRPr="009761B2">
        <w:rPr>
          <w:rFonts w:ascii="Times New Roman" w:hAnsi="Times New Roman" w:cs="Times New Roman"/>
          <w:b/>
          <w:i/>
          <w:sz w:val="28"/>
          <w:szCs w:val="28"/>
        </w:rPr>
        <w:t>муниципального образования «Городской округ Ногликский»</w:t>
      </w:r>
    </w:p>
    <w:p w:rsidR="009761B2" w:rsidRDefault="009761B2" w:rsidP="009761B2">
      <w:pPr>
        <w:spacing w:after="0"/>
        <w:jc w:val="center"/>
        <w:rPr>
          <w:rFonts w:ascii="Times New Roman" w:hAnsi="Times New Roman" w:cs="Times New Roman"/>
          <w:b/>
          <w:i/>
          <w:sz w:val="28"/>
          <w:szCs w:val="28"/>
        </w:rPr>
      </w:pPr>
      <w:r>
        <w:rPr>
          <w:rFonts w:ascii="Times New Roman" w:hAnsi="Times New Roman" w:cs="Times New Roman"/>
          <w:b/>
          <w:i/>
          <w:sz w:val="28"/>
          <w:szCs w:val="28"/>
        </w:rPr>
        <w:t>з</w:t>
      </w:r>
      <w:r w:rsidRPr="009761B2">
        <w:rPr>
          <w:rFonts w:ascii="Times New Roman" w:hAnsi="Times New Roman" w:cs="Times New Roman"/>
          <w:b/>
          <w:i/>
          <w:sz w:val="28"/>
          <w:szCs w:val="28"/>
        </w:rPr>
        <w:t>а 2015 год</w:t>
      </w:r>
    </w:p>
    <w:p w:rsidR="009761B2" w:rsidRDefault="009761B2" w:rsidP="009761B2">
      <w:pPr>
        <w:spacing w:after="0"/>
        <w:jc w:val="center"/>
        <w:rPr>
          <w:rFonts w:ascii="Times New Roman" w:hAnsi="Times New Roman" w:cs="Times New Roman"/>
          <w:b/>
          <w:i/>
          <w:sz w:val="28"/>
          <w:szCs w:val="28"/>
        </w:rPr>
      </w:pPr>
    </w:p>
    <w:p w:rsidR="00063E7C" w:rsidRPr="000326BF" w:rsidRDefault="00063E7C" w:rsidP="00063E7C">
      <w:pPr>
        <w:spacing w:after="0"/>
        <w:ind w:firstLine="708"/>
        <w:jc w:val="both"/>
        <w:rPr>
          <w:rFonts w:ascii="Times New Roman" w:hAnsi="Times New Roman"/>
          <w:sz w:val="28"/>
          <w:szCs w:val="28"/>
        </w:rPr>
      </w:pPr>
      <w:r w:rsidRPr="000326BF">
        <w:rPr>
          <w:rFonts w:ascii="Times New Roman" w:hAnsi="Times New Roman"/>
          <w:sz w:val="28"/>
          <w:szCs w:val="28"/>
        </w:rPr>
        <w:t>Муниципальное образование по прежнему занимает лидирующее место в Сахалинской области по основным макроэкономическим показателям: объему промышленного производства, в т. ч. на душу населения,  уровню заработной платы, объемам розничного  товарооборота и общественного питания,  платных услуг.</w:t>
      </w:r>
    </w:p>
    <w:p w:rsidR="00063E7C" w:rsidRPr="000326BF" w:rsidRDefault="00063E7C" w:rsidP="00063E7C">
      <w:pPr>
        <w:spacing w:after="0"/>
        <w:ind w:firstLine="709"/>
        <w:jc w:val="both"/>
        <w:rPr>
          <w:rFonts w:ascii="Times New Roman" w:hAnsi="Times New Roman"/>
          <w:b/>
          <w:sz w:val="28"/>
          <w:szCs w:val="28"/>
        </w:rPr>
      </w:pPr>
      <w:r w:rsidRPr="000326BF">
        <w:rPr>
          <w:rFonts w:ascii="Times New Roman" w:hAnsi="Times New Roman"/>
          <w:sz w:val="28"/>
          <w:szCs w:val="28"/>
        </w:rPr>
        <w:t>Администрацией муниципального образования в большей мере были реализованы мероприятия, обозначенные в Плане мероприятий по выполнению Указов Президента Российской Федерации от 07 мая 2012 года, Плане мероприятий по развитию муниципального образования, Плане первоочередных мероприятий по обеспечению устойчивого развития экономики и социальной стабильности</w:t>
      </w:r>
    </w:p>
    <w:p w:rsidR="00063E7C" w:rsidRPr="000326BF" w:rsidRDefault="00063E7C" w:rsidP="00063E7C">
      <w:pPr>
        <w:widowControl w:val="0"/>
        <w:autoSpaceDE w:val="0"/>
        <w:autoSpaceDN w:val="0"/>
        <w:adjustRightInd w:val="0"/>
        <w:ind w:firstLine="567"/>
        <w:jc w:val="both"/>
        <w:rPr>
          <w:rFonts w:ascii="Times New Roman CYR" w:hAnsi="Times New Roman CYR" w:cs="Times New Roman CYR"/>
          <w:sz w:val="28"/>
          <w:szCs w:val="28"/>
        </w:rPr>
      </w:pPr>
      <w:r w:rsidRPr="000326BF">
        <w:rPr>
          <w:rFonts w:ascii="Times New Roman CYR" w:hAnsi="Times New Roman CYR" w:cs="Times New Roman CYR"/>
          <w:sz w:val="28"/>
          <w:szCs w:val="28"/>
        </w:rPr>
        <w:t>В целом социально-экономическая ситуация в муниципальном образовании в 2015 году складывалась под воздействием экономических и социальных процессов, происходящих в Сахалинской области и в Российской Федерации. В период всего года и до настоящего времени социально-экономическое положение округа предопределяется условиями, сложившимися под воздействием экономического кризиса.</w:t>
      </w:r>
    </w:p>
    <w:p w:rsidR="009761B2" w:rsidRDefault="009761B2" w:rsidP="009761B2">
      <w:pPr>
        <w:spacing w:after="0"/>
        <w:jc w:val="both"/>
        <w:rPr>
          <w:rFonts w:ascii="Times New Roman" w:hAnsi="Times New Roman" w:cs="Times New Roman"/>
          <w:sz w:val="28"/>
          <w:szCs w:val="28"/>
        </w:rPr>
      </w:pPr>
    </w:p>
    <w:p w:rsidR="00063E7C" w:rsidRPr="00063E7C" w:rsidRDefault="00063E7C" w:rsidP="00063E7C">
      <w:pPr>
        <w:spacing w:after="0"/>
        <w:ind w:firstLine="540"/>
        <w:rPr>
          <w:rFonts w:ascii="Times New Roman" w:hAnsi="Times New Roman" w:cs="Times New Roman"/>
          <w:b/>
          <w:sz w:val="28"/>
          <w:szCs w:val="28"/>
          <w:u w:val="single"/>
        </w:rPr>
      </w:pPr>
      <w:r w:rsidRPr="00063E7C">
        <w:rPr>
          <w:rFonts w:ascii="Times New Roman" w:hAnsi="Times New Roman" w:cs="Times New Roman"/>
          <w:b/>
          <w:sz w:val="28"/>
          <w:szCs w:val="28"/>
          <w:u w:val="single"/>
        </w:rPr>
        <w:t>Демографическая ситуация</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Численность населения муниципального образования, как и Сахалинской области в целом, в течение последних лет имеет тенденцию к стабильному снижению. </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На 1 января 2016 года численность постоянного населения городского округа составила 11 336 человек и уменьшилась за 2015 год на 99 человек.</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Сокращение числа жителей происходит как за счет естественной убыли населения, так и по причине миграционного оттока населения. </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Процессы </w:t>
      </w:r>
      <w:r w:rsidRPr="00063E7C">
        <w:rPr>
          <w:rFonts w:ascii="Times New Roman" w:hAnsi="Times New Roman" w:cs="Times New Roman"/>
          <w:i/>
          <w:sz w:val="28"/>
          <w:szCs w:val="28"/>
        </w:rPr>
        <w:t xml:space="preserve">естественного воспроизводства </w:t>
      </w:r>
      <w:r w:rsidRPr="00063E7C">
        <w:rPr>
          <w:rFonts w:ascii="Times New Roman" w:hAnsi="Times New Roman" w:cs="Times New Roman"/>
          <w:sz w:val="28"/>
          <w:szCs w:val="28"/>
        </w:rPr>
        <w:t xml:space="preserve">характеризуются  отрицательным сальдо. В течение 2015 года родился 131 человек, умерло – 164. </w:t>
      </w:r>
      <w:r w:rsidRPr="00063E7C">
        <w:rPr>
          <w:rFonts w:ascii="Times New Roman" w:hAnsi="Times New Roman" w:cs="Times New Roman"/>
          <w:i/>
          <w:sz w:val="28"/>
          <w:szCs w:val="28"/>
        </w:rPr>
        <w:t>Естественная убыль</w:t>
      </w:r>
      <w:r w:rsidRPr="00063E7C">
        <w:rPr>
          <w:rFonts w:ascii="Times New Roman" w:hAnsi="Times New Roman" w:cs="Times New Roman"/>
          <w:sz w:val="28"/>
          <w:szCs w:val="28"/>
        </w:rPr>
        <w:t xml:space="preserve"> населения составила 33 человека. Необходимо отметить, что в 90-е годы прошлого столетия, которые справедливо считаются периодом с низкой рождаемостью, такого низкого</w:t>
      </w:r>
      <w:r w:rsidRPr="00063E7C">
        <w:rPr>
          <w:rFonts w:ascii="Times New Roman" w:hAnsi="Times New Roman" w:cs="Times New Roman"/>
          <w:color w:val="FF0000"/>
          <w:sz w:val="28"/>
          <w:szCs w:val="28"/>
        </w:rPr>
        <w:t xml:space="preserve"> </w:t>
      </w:r>
      <w:r w:rsidRPr="00063E7C">
        <w:rPr>
          <w:rFonts w:ascii="Times New Roman" w:hAnsi="Times New Roman" w:cs="Times New Roman"/>
          <w:sz w:val="28"/>
          <w:szCs w:val="28"/>
        </w:rPr>
        <w:t xml:space="preserve">показателя количества рожденных детей в городском округе не было. Смертность осталась на уровне прошлых лет. </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lastRenderedPageBreak/>
        <w:t xml:space="preserve">Миграционные процессы также имеют отрицательный показатель. </w:t>
      </w:r>
      <w:r w:rsidRPr="00063E7C">
        <w:rPr>
          <w:rFonts w:ascii="Times New Roman" w:hAnsi="Times New Roman" w:cs="Times New Roman"/>
          <w:i/>
          <w:sz w:val="28"/>
          <w:szCs w:val="28"/>
        </w:rPr>
        <w:t xml:space="preserve">Миграционный </w:t>
      </w:r>
      <w:r w:rsidRPr="00063E7C">
        <w:rPr>
          <w:rFonts w:ascii="Times New Roman" w:hAnsi="Times New Roman" w:cs="Times New Roman"/>
          <w:sz w:val="28"/>
          <w:szCs w:val="28"/>
        </w:rPr>
        <w:t xml:space="preserve">отток в 2015 году составил 76 человек и сократился по сравнению с прошлым годом более чем в 2 раза (в 2014 году – 196 человек). </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Особенностью миграционного движения в городском округе являются высокие показатели, как прибывающих, так и выбывающих. Сокращение числа жителей происходит за счет миграции населения в другие регионы России. Это общая проблема северных территорий. Притягивающими факторами, стимулирующие </w:t>
      </w:r>
      <w:r w:rsidRPr="00063E7C">
        <w:rPr>
          <w:rFonts w:ascii="Times New Roman" w:hAnsi="Times New Roman" w:cs="Times New Roman"/>
          <w:i/>
          <w:sz w:val="28"/>
          <w:szCs w:val="28"/>
        </w:rPr>
        <w:t>приток мигрантов</w:t>
      </w:r>
      <w:r w:rsidRPr="00063E7C">
        <w:rPr>
          <w:rFonts w:ascii="Times New Roman" w:hAnsi="Times New Roman" w:cs="Times New Roman"/>
          <w:sz w:val="28"/>
          <w:szCs w:val="28"/>
        </w:rPr>
        <w:t xml:space="preserve">, является наличие спроса в рабочих специальностях в сферах строительства, оказания услуг и в тоже время отсутствием предложения на эти места от жителей муниципалитета. </w:t>
      </w:r>
    </w:p>
    <w:p w:rsidR="00063E7C" w:rsidRDefault="00063E7C" w:rsidP="00063E7C">
      <w:pPr>
        <w:spacing w:after="0"/>
        <w:ind w:right="78" w:firstLine="374"/>
        <w:jc w:val="center"/>
        <w:rPr>
          <w:rFonts w:ascii="Times New Roman" w:hAnsi="Times New Roman" w:cs="Times New Roman"/>
          <w:b/>
          <w:sz w:val="28"/>
          <w:szCs w:val="28"/>
        </w:rPr>
      </w:pPr>
    </w:p>
    <w:p w:rsidR="00063E7C" w:rsidRPr="00063E7C" w:rsidRDefault="00063E7C" w:rsidP="00063E7C">
      <w:pPr>
        <w:spacing w:after="0"/>
        <w:ind w:right="78" w:firstLine="374"/>
        <w:jc w:val="center"/>
        <w:rPr>
          <w:rFonts w:ascii="Times New Roman" w:hAnsi="Times New Roman" w:cs="Times New Roman"/>
          <w:b/>
          <w:sz w:val="28"/>
          <w:szCs w:val="28"/>
        </w:rPr>
      </w:pPr>
    </w:p>
    <w:p w:rsidR="00063E7C" w:rsidRPr="00063E7C" w:rsidRDefault="00063E7C" w:rsidP="00063E7C">
      <w:pPr>
        <w:spacing w:after="0"/>
        <w:ind w:right="78" w:firstLine="374"/>
        <w:jc w:val="center"/>
        <w:rPr>
          <w:rFonts w:ascii="Times New Roman" w:hAnsi="Times New Roman" w:cs="Times New Roman"/>
          <w:b/>
          <w:sz w:val="28"/>
          <w:szCs w:val="28"/>
        </w:rPr>
      </w:pPr>
      <w:r w:rsidRPr="00063E7C">
        <w:rPr>
          <w:rFonts w:ascii="Times New Roman" w:hAnsi="Times New Roman" w:cs="Times New Roman"/>
          <w:b/>
          <w:sz w:val="28"/>
          <w:szCs w:val="28"/>
        </w:rPr>
        <w:t>Динамика движения населения</w:t>
      </w:r>
    </w:p>
    <w:p w:rsidR="00063E7C" w:rsidRPr="00063E7C" w:rsidRDefault="00063E7C" w:rsidP="00063E7C">
      <w:pPr>
        <w:spacing w:after="0"/>
        <w:ind w:right="78" w:firstLine="374"/>
        <w:jc w:val="center"/>
        <w:rPr>
          <w:rFonts w:ascii="Times New Roman" w:hAnsi="Times New Roman" w:cs="Times New Roman"/>
          <w:b/>
          <w:sz w:val="28"/>
          <w:szCs w:val="28"/>
        </w:rPr>
      </w:pPr>
      <w:r w:rsidRPr="00063E7C">
        <w:rPr>
          <w:rFonts w:ascii="Times New Roman" w:hAnsi="Times New Roman" w:cs="Times New Roman"/>
          <w:b/>
          <w:sz w:val="28"/>
          <w:szCs w:val="28"/>
        </w:rPr>
        <w:t>муниципального образования «Городской округ Ногликский», человек</w:t>
      </w:r>
    </w:p>
    <w:p w:rsidR="00063E7C" w:rsidRPr="00063E7C" w:rsidRDefault="00063E7C" w:rsidP="00063E7C">
      <w:pPr>
        <w:spacing w:after="0"/>
        <w:ind w:left="-1080" w:right="78" w:firstLine="374"/>
        <w:jc w:val="center"/>
        <w:rPr>
          <w:rFonts w:ascii="Times New Roman" w:hAnsi="Times New Roman" w:cs="Times New Roman"/>
          <w:sz w:val="28"/>
          <w:szCs w:val="28"/>
          <w:u w:val="single"/>
        </w:rPr>
      </w:pPr>
    </w:p>
    <w:p w:rsidR="00063E7C" w:rsidRPr="00063E7C" w:rsidRDefault="00063E7C" w:rsidP="00063E7C">
      <w:pPr>
        <w:spacing w:after="0"/>
        <w:ind w:left="-1080" w:right="78" w:firstLine="374"/>
        <w:jc w:val="center"/>
        <w:rPr>
          <w:rFonts w:ascii="Times New Roman" w:hAnsi="Times New Roman" w:cs="Times New Roman"/>
          <w:sz w:val="28"/>
          <w:szCs w:val="28"/>
          <w:u w:val="single"/>
        </w:rPr>
      </w:pPr>
      <w:r w:rsidRPr="00063E7C">
        <w:rPr>
          <w:rFonts w:ascii="Times New Roman" w:hAnsi="Times New Roman" w:cs="Times New Roman"/>
          <w:b/>
          <w:noProof/>
          <w:sz w:val="28"/>
          <w:szCs w:val="28"/>
          <w:lang w:eastAsia="ru-RU"/>
        </w:rPr>
        <w:drawing>
          <wp:inline distT="0" distB="0" distL="0" distR="0">
            <wp:extent cx="5935345" cy="3869055"/>
            <wp:effectExtent l="0" t="0" r="0" b="0"/>
            <wp:docPr id="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063E7C" w:rsidRPr="00063E7C" w:rsidRDefault="00063E7C" w:rsidP="00063E7C">
      <w:pPr>
        <w:spacing w:after="0"/>
        <w:ind w:left="-1080" w:right="78" w:firstLine="374"/>
        <w:jc w:val="center"/>
        <w:rPr>
          <w:rFonts w:ascii="Times New Roman" w:hAnsi="Times New Roman" w:cs="Times New Roman"/>
          <w:i/>
          <w:sz w:val="24"/>
          <w:szCs w:val="24"/>
        </w:rPr>
      </w:pPr>
      <w:r>
        <w:rPr>
          <w:rFonts w:ascii="Times New Roman" w:hAnsi="Times New Roman" w:cs="Times New Roman"/>
          <w:i/>
          <w:sz w:val="24"/>
          <w:szCs w:val="24"/>
        </w:rPr>
        <w:t>Рисунок</w:t>
      </w:r>
      <w:r w:rsidRPr="00063E7C">
        <w:rPr>
          <w:rFonts w:ascii="Times New Roman" w:hAnsi="Times New Roman" w:cs="Times New Roman"/>
          <w:i/>
          <w:sz w:val="24"/>
          <w:szCs w:val="24"/>
        </w:rPr>
        <w:t xml:space="preserve"> 1</w:t>
      </w:r>
    </w:p>
    <w:p w:rsidR="00063E7C" w:rsidRPr="00063E7C" w:rsidRDefault="00063E7C" w:rsidP="00063E7C">
      <w:pPr>
        <w:spacing w:after="0"/>
        <w:ind w:firstLine="540"/>
        <w:jc w:val="both"/>
        <w:rPr>
          <w:rFonts w:ascii="Times New Roman" w:hAnsi="Times New Roman" w:cs="Times New Roman"/>
          <w:sz w:val="28"/>
          <w:szCs w:val="28"/>
        </w:rPr>
      </w:pPr>
    </w:p>
    <w:p w:rsidR="00063E7C" w:rsidRPr="00063E7C" w:rsidRDefault="00063E7C" w:rsidP="00063E7C">
      <w:pPr>
        <w:keepNext/>
        <w:widowControl w:val="0"/>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На </w:t>
      </w:r>
      <w:r w:rsidRPr="00063E7C">
        <w:rPr>
          <w:rFonts w:ascii="Times New Roman" w:hAnsi="Times New Roman" w:cs="Times New Roman"/>
          <w:i/>
          <w:sz w:val="28"/>
          <w:szCs w:val="28"/>
        </w:rPr>
        <w:t>миграционный отток</w:t>
      </w:r>
      <w:r w:rsidRPr="00063E7C">
        <w:rPr>
          <w:rFonts w:ascii="Times New Roman" w:hAnsi="Times New Roman" w:cs="Times New Roman"/>
          <w:sz w:val="28"/>
          <w:szCs w:val="28"/>
        </w:rPr>
        <w:t xml:space="preserve"> влияют межрегиональные различия стартовых возможностей прибывающих в муниципалитет граждан и условия их обустройства:  высокая стоимость квадратного метра жилья; отдаленность от мест постоянного проживания в совокупности с высокими транспортными </w:t>
      </w:r>
      <w:r w:rsidRPr="00063E7C">
        <w:rPr>
          <w:rFonts w:ascii="Times New Roman" w:hAnsi="Times New Roman" w:cs="Times New Roman"/>
          <w:sz w:val="28"/>
          <w:szCs w:val="28"/>
        </w:rPr>
        <w:lastRenderedPageBreak/>
        <w:t>тарифами; личные, семейные мотивы.</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В течение последних лет въезд иностранных граждан на территорию Ногликского городского округа является стабильным. </w:t>
      </w:r>
    </w:p>
    <w:p w:rsidR="00063E7C" w:rsidRPr="00063E7C" w:rsidRDefault="00063E7C" w:rsidP="00063E7C">
      <w:pPr>
        <w:spacing w:after="0"/>
        <w:ind w:firstLine="561"/>
        <w:jc w:val="both"/>
        <w:rPr>
          <w:rFonts w:ascii="Times New Roman" w:hAnsi="Times New Roman" w:cs="Times New Roman"/>
          <w:sz w:val="28"/>
          <w:szCs w:val="28"/>
        </w:rPr>
      </w:pPr>
      <w:r w:rsidRPr="00063E7C">
        <w:rPr>
          <w:rFonts w:ascii="Times New Roman" w:hAnsi="Times New Roman" w:cs="Times New Roman"/>
          <w:sz w:val="28"/>
          <w:szCs w:val="28"/>
        </w:rPr>
        <w:t>По данным межрайонного отдела Управления миграционной службы РФ по Сахалинской области в 2015 году количество обращений иностранных граждан с целью постановки на миграционный учет составило 5</w:t>
      </w:r>
      <w:r w:rsidRPr="00063E7C">
        <w:rPr>
          <w:rFonts w:ascii="Times New Roman" w:hAnsi="Times New Roman" w:cs="Times New Roman"/>
          <w:sz w:val="28"/>
          <w:szCs w:val="28"/>
          <w:lang w:val="en-US"/>
        </w:rPr>
        <w:t> </w:t>
      </w:r>
      <w:r w:rsidRPr="00063E7C">
        <w:rPr>
          <w:rFonts w:ascii="Times New Roman" w:hAnsi="Times New Roman" w:cs="Times New Roman"/>
          <w:sz w:val="28"/>
          <w:szCs w:val="28"/>
        </w:rPr>
        <w:t>690 (в 2014 году – 7 002). Уменьшение числа обращений иностранных граждан связано с изменением условий получения патента (разрешения на работу), а именно: необходимость знания русского языка, прохождение медицинского осмотра, а также достаточно высокий уровень цен по сравнению с центральными регионами России на товары и услуги.</w:t>
      </w:r>
    </w:p>
    <w:p w:rsid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В визовом порядке из стран дальнего зарубежья поставлено на учет 3571 человек (или 82% к уровню 2014 года). Количество иностранных граждан, въехавших в безвизовом режиме, также уменьшилось: 2 119 человек против 2 635 в 2014 году.</w:t>
      </w:r>
    </w:p>
    <w:p w:rsidR="00063E7C" w:rsidRPr="00063E7C" w:rsidRDefault="00063E7C" w:rsidP="00063E7C">
      <w:pPr>
        <w:spacing w:after="0"/>
        <w:ind w:firstLine="540"/>
        <w:jc w:val="both"/>
        <w:rPr>
          <w:rFonts w:ascii="Times New Roman" w:hAnsi="Times New Roman" w:cs="Times New Roman"/>
          <w:sz w:val="28"/>
          <w:szCs w:val="28"/>
        </w:rPr>
      </w:pPr>
    </w:p>
    <w:p w:rsidR="00063E7C" w:rsidRPr="00063E7C" w:rsidRDefault="00063E7C" w:rsidP="00063E7C">
      <w:pPr>
        <w:spacing w:after="0"/>
        <w:ind w:firstLine="561"/>
        <w:jc w:val="both"/>
        <w:rPr>
          <w:rFonts w:ascii="Times New Roman" w:hAnsi="Times New Roman" w:cs="Times New Roman"/>
          <w:sz w:val="28"/>
          <w:szCs w:val="28"/>
        </w:rPr>
      </w:pPr>
    </w:p>
    <w:p w:rsidR="00063E7C" w:rsidRPr="00063E7C" w:rsidRDefault="00063E7C" w:rsidP="00063E7C">
      <w:pPr>
        <w:spacing w:after="0"/>
        <w:ind w:firstLine="561"/>
        <w:jc w:val="center"/>
        <w:rPr>
          <w:rFonts w:ascii="Times New Roman" w:hAnsi="Times New Roman" w:cs="Times New Roman"/>
          <w:b/>
          <w:sz w:val="28"/>
          <w:szCs w:val="28"/>
        </w:rPr>
      </w:pPr>
      <w:r w:rsidRPr="00063E7C">
        <w:rPr>
          <w:rFonts w:ascii="Times New Roman" w:hAnsi="Times New Roman" w:cs="Times New Roman"/>
          <w:b/>
          <w:sz w:val="28"/>
          <w:szCs w:val="28"/>
        </w:rPr>
        <w:t xml:space="preserve">Динамика постановки на миграционный учет  иностранных граждан, прибывших на территорию муниципального образования </w:t>
      </w:r>
    </w:p>
    <w:p w:rsidR="00063E7C" w:rsidRPr="00063E7C" w:rsidRDefault="00063E7C" w:rsidP="00063E7C">
      <w:pPr>
        <w:spacing w:after="0"/>
        <w:ind w:firstLine="561"/>
        <w:jc w:val="center"/>
        <w:rPr>
          <w:rFonts w:ascii="Times New Roman" w:hAnsi="Times New Roman" w:cs="Times New Roman"/>
          <w:b/>
          <w:sz w:val="28"/>
          <w:szCs w:val="28"/>
        </w:rPr>
      </w:pPr>
      <w:r w:rsidRPr="00063E7C">
        <w:rPr>
          <w:rFonts w:ascii="Times New Roman" w:hAnsi="Times New Roman" w:cs="Times New Roman"/>
          <w:b/>
          <w:sz w:val="28"/>
          <w:szCs w:val="28"/>
        </w:rPr>
        <w:t>«Городской округ Ногликский»</w:t>
      </w:r>
    </w:p>
    <w:p w:rsidR="00063E7C" w:rsidRPr="00063E7C" w:rsidRDefault="00063E7C" w:rsidP="00063E7C">
      <w:pPr>
        <w:spacing w:after="0"/>
        <w:ind w:firstLine="561"/>
        <w:jc w:val="center"/>
        <w:rPr>
          <w:rFonts w:ascii="Times New Roman" w:hAnsi="Times New Roman" w:cs="Times New Roman"/>
          <w:b/>
          <w:sz w:val="28"/>
          <w:szCs w:val="28"/>
        </w:rPr>
      </w:pPr>
    </w:p>
    <w:p w:rsidR="00063E7C" w:rsidRPr="00063E7C" w:rsidRDefault="00063E7C" w:rsidP="00063E7C">
      <w:pPr>
        <w:spacing w:after="0"/>
        <w:jc w:val="center"/>
        <w:rPr>
          <w:rFonts w:ascii="Times New Roman" w:hAnsi="Times New Roman" w:cs="Times New Roman"/>
          <w:b/>
          <w:sz w:val="28"/>
          <w:szCs w:val="28"/>
        </w:rPr>
      </w:pPr>
      <w:r w:rsidRPr="00063E7C">
        <w:rPr>
          <w:rFonts w:ascii="Times New Roman" w:hAnsi="Times New Roman" w:cs="Times New Roman"/>
          <w:b/>
          <w:noProof/>
          <w:sz w:val="28"/>
          <w:szCs w:val="28"/>
          <w:lang w:eastAsia="ru-RU"/>
        </w:rPr>
        <w:drawing>
          <wp:inline distT="0" distB="0" distL="0" distR="0">
            <wp:extent cx="5850255" cy="2480945"/>
            <wp:effectExtent l="0" t="0" r="0" b="0"/>
            <wp:docPr id="2"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63E7C" w:rsidRPr="00063E7C" w:rsidRDefault="00063E7C" w:rsidP="00063E7C">
      <w:pPr>
        <w:spacing w:after="0"/>
        <w:ind w:firstLine="561"/>
        <w:jc w:val="center"/>
        <w:rPr>
          <w:rFonts w:ascii="Times New Roman" w:hAnsi="Times New Roman" w:cs="Times New Roman"/>
          <w:i/>
          <w:sz w:val="24"/>
          <w:szCs w:val="24"/>
        </w:rPr>
      </w:pPr>
      <w:r>
        <w:rPr>
          <w:rFonts w:ascii="Times New Roman" w:hAnsi="Times New Roman" w:cs="Times New Roman"/>
          <w:i/>
          <w:sz w:val="24"/>
          <w:szCs w:val="24"/>
        </w:rPr>
        <w:t>Рисунок</w:t>
      </w:r>
      <w:r w:rsidRPr="00063E7C">
        <w:rPr>
          <w:rFonts w:ascii="Times New Roman" w:hAnsi="Times New Roman" w:cs="Times New Roman"/>
          <w:i/>
          <w:sz w:val="24"/>
          <w:szCs w:val="24"/>
        </w:rPr>
        <w:t xml:space="preserve"> 2</w:t>
      </w:r>
    </w:p>
    <w:p w:rsidR="00063E7C" w:rsidRPr="00063E7C" w:rsidRDefault="00063E7C" w:rsidP="00063E7C">
      <w:pPr>
        <w:spacing w:after="0"/>
        <w:ind w:firstLine="561"/>
        <w:jc w:val="both"/>
        <w:rPr>
          <w:rFonts w:ascii="Times New Roman" w:hAnsi="Times New Roman" w:cs="Times New Roman"/>
          <w:sz w:val="28"/>
          <w:szCs w:val="28"/>
        </w:rPr>
      </w:pPr>
    </w:p>
    <w:p w:rsidR="00063E7C" w:rsidRPr="00063E7C" w:rsidRDefault="00063E7C" w:rsidP="00063E7C">
      <w:pPr>
        <w:spacing w:after="0"/>
        <w:ind w:firstLine="561"/>
        <w:jc w:val="both"/>
        <w:rPr>
          <w:rFonts w:ascii="Times New Roman" w:hAnsi="Times New Roman" w:cs="Times New Roman"/>
          <w:sz w:val="28"/>
          <w:szCs w:val="28"/>
        </w:rPr>
      </w:pPr>
      <w:r w:rsidRPr="00063E7C">
        <w:rPr>
          <w:rFonts w:ascii="Times New Roman" w:hAnsi="Times New Roman" w:cs="Times New Roman"/>
          <w:sz w:val="28"/>
          <w:szCs w:val="28"/>
        </w:rPr>
        <w:t>Из общего числа въехавших 4 799 человек (84%) прибыли с целью «работа по найму», остальные - в качестве туристов, по семейным делам, в деловые поездки.</w:t>
      </w:r>
    </w:p>
    <w:p w:rsidR="00063E7C" w:rsidRPr="00063E7C" w:rsidRDefault="00063E7C" w:rsidP="00063E7C">
      <w:pPr>
        <w:spacing w:after="0"/>
        <w:ind w:firstLine="561"/>
        <w:jc w:val="both"/>
        <w:rPr>
          <w:rFonts w:ascii="Times New Roman" w:hAnsi="Times New Roman" w:cs="Times New Roman"/>
          <w:sz w:val="28"/>
          <w:szCs w:val="28"/>
        </w:rPr>
      </w:pPr>
      <w:r w:rsidRPr="00063E7C">
        <w:rPr>
          <w:rFonts w:ascii="Times New Roman" w:hAnsi="Times New Roman" w:cs="Times New Roman"/>
          <w:sz w:val="28"/>
          <w:szCs w:val="28"/>
        </w:rPr>
        <w:t xml:space="preserve">В отчетном периоде 7 гражданам, вынужденно покинувшим Украину, предоставлено временное убежище на территории городского округа. По </w:t>
      </w:r>
      <w:r w:rsidRPr="00063E7C">
        <w:rPr>
          <w:rFonts w:ascii="Times New Roman" w:hAnsi="Times New Roman" w:cs="Times New Roman"/>
          <w:sz w:val="28"/>
          <w:szCs w:val="28"/>
        </w:rPr>
        <w:lastRenderedPageBreak/>
        <w:t>состоянию на 01.01.2016 года 3 человека выехали, а оставшиеся 4 человека трудоустроены и остались в муниципальном образовании.</w:t>
      </w:r>
    </w:p>
    <w:p w:rsidR="00063E7C" w:rsidRPr="00063E7C" w:rsidRDefault="00063E7C" w:rsidP="00063E7C">
      <w:pPr>
        <w:spacing w:after="0"/>
        <w:ind w:firstLine="561"/>
        <w:jc w:val="both"/>
        <w:rPr>
          <w:rFonts w:ascii="Times New Roman" w:hAnsi="Times New Roman" w:cs="Times New Roman"/>
          <w:color w:val="FF0000"/>
          <w:sz w:val="28"/>
          <w:szCs w:val="28"/>
        </w:rPr>
      </w:pPr>
    </w:p>
    <w:p w:rsidR="00063E7C" w:rsidRDefault="00063E7C" w:rsidP="00063E7C">
      <w:pPr>
        <w:spacing w:after="0"/>
        <w:ind w:firstLine="425"/>
        <w:jc w:val="center"/>
        <w:rPr>
          <w:rFonts w:ascii="Times New Roman" w:hAnsi="Times New Roman" w:cs="Times New Roman"/>
          <w:b/>
          <w:sz w:val="28"/>
          <w:szCs w:val="28"/>
        </w:rPr>
      </w:pPr>
    </w:p>
    <w:p w:rsidR="00063E7C" w:rsidRPr="00063E7C" w:rsidRDefault="00063E7C" w:rsidP="00063E7C">
      <w:pPr>
        <w:spacing w:after="0"/>
        <w:ind w:firstLine="425"/>
        <w:jc w:val="center"/>
        <w:rPr>
          <w:rFonts w:ascii="Times New Roman" w:hAnsi="Times New Roman" w:cs="Times New Roman"/>
          <w:b/>
          <w:sz w:val="28"/>
          <w:szCs w:val="28"/>
        </w:rPr>
      </w:pPr>
      <w:r w:rsidRPr="00063E7C">
        <w:rPr>
          <w:rFonts w:ascii="Times New Roman" w:hAnsi="Times New Roman" w:cs="Times New Roman"/>
          <w:b/>
          <w:sz w:val="28"/>
          <w:szCs w:val="28"/>
        </w:rPr>
        <w:t>Труд и занятость населения</w:t>
      </w:r>
    </w:p>
    <w:p w:rsidR="00063E7C" w:rsidRPr="00063E7C" w:rsidRDefault="00063E7C" w:rsidP="00063E7C">
      <w:pPr>
        <w:spacing w:after="0"/>
        <w:ind w:firstLine="425"/>
        <w:jc w:val="both"/>
        <w:rPr>
          <w:rFonts w:ascii="Times New Roman" w:hAnsi="Times New Roman" w:cs="Times New Roman"/>
          <w:b/>
          <w:sz w:val="28"/>
          <w:szCs w:val="28"/>
        </w:rPr>
      </w:pPr>
    </w:p>
    <w:p w:rsidR="00063E7C" w:rsidRPr="00063E7C" w:rsidRDefault="00063E7C" w:rsidP="00063E7C">
      <w:pPr>
        <w:keepNext/>
        <w:widowControl w:val="0"/>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Среднесписочная численность работающих в городском округе в 2015 году составила 5,1 тыс.человек.</w:t>
      </w:r>
      <w:r w:rsidRPr="00063E7C">
        <w:rPr>
          <w:rFonts w:ascii="Times New Roman" w:hAnsi="Times New Roman" w:cs="Times New Roman"/>
          <w:color w:val="FF0000"/>
          <w:sz w:val="28"/>
          <w:szCs w:val="28"/>
        </w:rPr>
        <w:t xml:space="preserve"> </w:t>
      </w:r>
      <w:r w:rsidRPr="00063E7C">
        <w:rPr>
          <w:rFonts w:ascii="Times New Roman" w:hAnsi="Times New Roman" w:cs="Times New Roman"/>
          <w:sz w:val="28"/>
          <w:szCs w:val="28"/>
        </w:rPr>
        <w:t>Преобладающая часть занятого населения (4,5 тыс. человек) сосредоточена на крупных и средних предприятиях и организациях.</w:t>
      </w:r>
    </w:p>
    <w:p w:rsidR="00063E7C" w:rsidRPr="00063E7C" w:rsidRDefault="00063E7C" w:rsidP="00063E7C">
      <w:pPr>
        <w:pStyle w:val="34"/>
        <w:spacing w:after="0"/>
        <w:ind w:left="0" w:firstLine="540"/>
        <w:jc w:val="both"/>
        <w:rPr>
          <w:sz w:val="28"/>
          <w:szCs w:val="28"/>
        </w:rPr>
      </w:pPr>
      <w:r w:rsidRPr="00063E7C">
        <w:rPr>
          <w:sz w:val="28"/>
          <w:szCs w:val="28"/>
        </w:rPr>
        <w:t>На конец отчетного периода в Ногликском центре занятости населения зарегистрирован 81 безработный.</w:t>
      </w:r>
    </w:p>
    <w:p w:rsidR="00063E7C" w:rsidRPr="00063E7C" w:rsidRDefault="00063E7C" w:rsidP="00063E7C">
      <w:pPr>
        <w:pStyle w:val="34"/>
        <w:spacing w:after="0"/>
        <w:ind w:left="0" w:firstLine="540"/>
        <w:jc w:val="both"/>
        <w:rPr>
          <w:sz w:val="28"/>
          <w:szCs w:val="28"/>
        </w:rPr>
      </w:pPr>
      <w:r w:rsidRPr="00063E7C">
        <w:rPr>
          <w:sz w:val="28"/>
          <w:szCs w:val="28"/>
        </w:rPr>
        <w:t xml:space="preserve">Уровень регистрируемой безработицы на конец отчетного периода возрос к показателю аналогичного периода прошлого года и составил 1,1%. Увеличение числа зарегистрированных безработных связано, с одной стороны, с высвобождением работников, занятых на временных и сезонных работах (это рыбообработка, общественные работы), а с другой стороны – отсутствием информации в службе занятости о существующих вакансиях на предприятиях городского округа. Работодатели по-прежнему неохотно подают сведения в Центр занятости о наличии вакансий на своих предприятиях и учреждениях. </w:t>
      </w:r>
    </w:p>
    <w:p w:rsidR="00063E7C" w:rsidRPr="00063E7C" w:rsidRDefault="00063E7C" w:rsidP="00063E7C">
      <w:pPr>
        <w:spacing w:after="0"/>
        <w:ind w:firstLine="540"/>
        <w:jc w:val="both"/>
        <w:rPr>
          <w:rFonts w:ascii="Times New Roman" w:hAnsi="Times New Roman" w:cs="Times New Roman"/>
          <w:sz w:val="28"/>
          <w:szCs w:val="28"/>
        </w:rPr>
      </w:pPr>
    </w:p>
    <w:p w:rsidR="00063E7C" w:rsidRPr="00063E7C" w:rsidRDefault="00063E7C" w:rsidP="00063E7C">
      <w:pPr>
        <w:spacing w:after="0"/>
        <w:ind w:right="-93" w:firstLine="561"/>
        <w:jc w:val="center"/>
        <w:rPr>
          <w:rFonts w:ascii="Times New Roman" w:hAnsi="Times New Roman" w:cs="Times New Roman"/>
          <w:b/>
          <w:sz w:val="28"/>
          <w:szCs w:val="28"/>
        </w:rPr>
      </w:pPr>
      <w:r w:rsidRPr="00063E7C">
        <w:rPr>
          <w:rFonts w:ascii="Times New Roman" w:hAnsi="Times New Roman" w:cs="Times New Roman"/>
          <w:b/>
          <w:sz w:val="28"/>
          <w:szCs w:val="28"/>
        </w:rPr>
        <w:t>Уровень регистрируемой безработицы, %</w:t>
      </w:r>
    </w:p>
    <w:p w:rsidR="00063E7C" w:rsidRPr="00063E7C" w:rsidRDefault="00063E7C" w:rsidP="00063E7C">
      <w:pPr>
        <w:spacing w:after="0"/>
        <w:ind w:right="-93" w:firstLine="561"/>
        <w:jc w:val="center"/>
        <w:rPr>
          <w:rFonts w:ascii="Times New Roman" w:hAnsi="Times New Roman" w:cs="Times New Roman"/>
          <w:b/>
          <w:color w:val="FF0000"/>
          <w:sz w:val="28"/>
          <w:szCs w:val="28"/>
        </w:rPr>
      </w:pPr>
    </w:p>
    <w:p w:rsidR="00063E7C" w:rsidRPr="00063E7C" w:rsidRDefault="00063E7C" w:rsidP="00063E7C">
      <w:pPr>
        <w:pStyle w:val="34"/>
        <w:spacing w:after="0"/>
        <w:ind w:left="0" w:firstLine="540"/>
        <w:jc w:val="both"/>
        <w:rPr>
          <w:color w:val="FF0000"/>
          <w:sz w:val="28"/>
          <w:szCs w:val="28"/>
        </w:rPr>
      </w:pPr>
      <w:r w:rsidRPr="00063E7C">
        <w:rPr>
          <w:noProof/>
          <w:color w:val="FF0000"/>
          <w:sz w:val="28"/>
          <w:szCs w:val="28"/>
          <w:lang w:eastAsia="ru-RU"/>
        </w:rPr>
        <w:drawing>
          <wp:inline distT="0" distB="0" distL="0" distR="0">
            <wp:extent cx="5600700" cy="2395855"/>
            <wp:effectExtent l="0" t="0" r="0" b="0"/>
            <wp:docPr id="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63E7C" w:rsidRPr="00063E7C" w:rsidRDefault="00063E7C" w:rsidP="00063E7C">
      <w:pPr>
        <w:pStyle w:val="34"/>
        <w:spacing w:after="0"/>
        <w:ind w:left="0" w:firstLine="540"/>
        <w:jc w:val="center"/>
        <w:rPr>
          <w:i/>
          <w:sz w:val="24"/>
          <w:szCs w:val="24"/>
        </w:rPr>
      </w:pPr>
      <w:r>
        <w:rPr>
          <w:i/>
          <w:sz w:val="24"/>
          <w:szCs w:val="24"/>
        </w:rPr>
        <w:t xml:space="preserve">Рисунок </w:t>
      </w:r>
      <w:r w:rsidRPr="00063E7C">
        <w:rPr>
          <w:i/>
          <w:sz w:val="24"/>
          <w:szCs w:val="24"/>
        </w:rPr>
        <w:t>3</w:t>
      </w:r>
    </w:p>
    <w:p w:rsidR="00063E7C" w:rsidRPr="00063E7C" w:rsidRDefault="00063E7C" w:rsidP="00063E7C">
      <w:pPr>
        <w:pStyle w:val="34"/>
        <w:spacing w:after="0"/>
        <w:ind w:left="0" w:firstLine="540"/>
        <w:jc w:val="both"/>
        <w:rPr>
          <w:color w:val="FF0000"/>
          <w:sz w:val="28"/>
          <w:szCs w:val="28"/>
        </w:rPr>
      </w:pP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Всего за отчетный год в Ногликский центр занятости населения обратились 775 граждан за содействием в поиске подходящей работы.  Среди обращающихся 43% процента составляет молодежь в возрасте 16-29 лет, 42% - женщины, 11% - граждане, не работающие больше года.</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lastRenderedPageBreak/>
        <w:t>Для рынка труда характерна тенденция сохраняющегося разрыва между регистрируемой и общей безработицей. Практика показывает, что заявленные вакансии на неквалифицированные работы заполняются быстро. Это обуславливается низким профессиональным уровнем большинства безработных, состоящих на учете. Отказ в приеме на работу получает молодежь, впервые вступающая на рынок труда, из-за низкой профессиональной квалификации и отсутствия практического опыта работы, граждане предпенсионного возраста, граждане с ограниченными трудовыми возможностями, длительно неработающие.</w:t>
      </w:r>
    </w:p>
    <w:p w:rsidR="00063E7C" w:rsidRPr="00063E7C" w:rsidRDefault="00063E7C" w:rsidP="00063E7C">
      <w:pPr>
        <w:spacing w:after="0"/>
        <w:ind w:firstLine="540"/>
        <w:jc w:val="both"/>
        <w:rPr>
          <w:rFonts w:ascii="Times New Roman" w:hAnsi="Times New Roman" w:cs="Times New Roman"/>
          <w:sz w:val="28"/>
          <w:szCs w:val="28"/>
        </w:rPr>
      </w:pPr>
      <w:r w:rsidRPr="00063E7C">
        <w:rPr>
          <w:rFonts w:ascii="Times New Roman" w:hAnsi="Times New Roman" w:cs="Times New Roman"/>
          <w:sz w:val="28"/>
          <w:szCs w:val="28"/>
        </w:rPr>
        <w:t xml:space="preserve">В связи с сокращением штата предприятий в службу занятости за отчетный год обратился 29 человек, из них трудоустроено 12 человек. Для недопущения социальной напряженности на рынке труда в 2015 году на территории городского округ действовала Программа по организации оплачиваемых общественных работ, рассчитанная на 2013-2015 годы.  Исполнение мероприятий данной программы позволило обеспечить работой 99  человек. </w:t>
      </w:r>
    </w:p>
    <w:p w:rsidR="00063E7C" w:rsidRPr="00063E7C" w:rsidRDefault="00063E7C" w:rsidP="00063E7C">
      <w:pPr>
        <w:spacing w:after="0"/>
        <w:ind w:firstLine="540"/>
        <w:jc w:val="both"/>
        <w:rPr>
          <w:rFonts w:ascii="Times New Roman" w:hAnsi="Times New Roman" w:cs="Times New Roman"/>
          <w:color w:val="FF0000"/>
          <w:sz w:val="28"/>
          <w:szCs w:val="28"/>
        </w:rPr>
      </w:pPr>
    </w:p>
    <w:p w:rsidR="00063E7C" w:rsidRPr="00063E7C" w:rsidRDefault="00063E7C" w:rsidP="00063E7C">
      <w:pPr>
        <w:spacing w:after="0"/>
        <w:ind w:firstLine="540"/>
        <w:jc w:val="both"/>
        <w:rPr>
          <w:rFonts w:ascii="Times New Roman" w:hAnsi="Times New Roman" w:cs="Times New Roman"/>
          <w:b/>
          <w:sz w:val="28"/>
          <w:szCs w:val="28"/>
          <w:u w:val="single"/>
        </w:rPr>
      </w:pPr>
      <w:r w:rsidRPr="00063E7C">
        <w:rPr>
          <w:rFonts w:ascii="Times New Roman" w:hAnsi="Times New Roman" w:cs="Times New Roman"/>
          <w:b/>
          <w:sz w:val="28"/>
          <w:szCs w:val="28"/>
          <w:u w:val="single"/>
        </w:rPr>
        <w:t>Уровень жизни и доходы населения</w:t>
      </w:r>
    </w:p>
    <w:p w:rsidR="00063E7C" w:rsidRPr="00063E7C" w:rsidRDefault="00063E7C" w:rsidP="00063E7C">
      <w:pPr>
        <w:spacing w:after="0"/>
        <w:ind w:right="-93" w:firstLine="561"/>
        <w:jc w:val="both"/>
        <w:rPr>
          <w:rFonts w:ascii="Times New Roman" w:hAnsi="Times New Roman" w:cs="Times New Roman"/>
          <w:sz w:val="28"/>
          <w:szCs w:val="28"/>
        </w:rPr>
      </w:pPr>
    </w:p>
    <w:p w:rsidR="00063E7C" w:rsidRPr="00063E7C" w:rsidRDefault="00063E7C" w:rsidP="00063E7C">
      <w:pPr>
        <w:spacing w:after="0"/>
        <w:ind w:right="-93" w:firstLine="561"/>
        <w:jc w:val="both"/>
        <w:rPr>
          <w:rFonts w:ascii="Times New Roman" w:hAnsi="Times New Roman" w:cs="Times New Roman"/>
          <w:sz w:val="28"/>
          <w:szCs w:val="28"/>
        </w:rPr>
      </w:pPr>
      <w:r w:rsidRPr="00063E7C">
        <w:rPr>
          <w:rFonts w:ascii="Times New Roman" w:hAnsi="Times New Roman" w:cs="Times New Roman"/>
          <w:sz w:val="28"/>
          <w:szCs w:val="28"/>
        </w:rPr>
        <w:t>В 2015 году удалось не допустить снижения уровня доходов населения муниципального образования, а также его покупательной способности.</w:t>
      </w:r>
    </w:p>
    <w:p w:rsidR="00063E7C" w:rsidRPr="00063E7C" w:rsidRDefault="00063E7C" w:rsidP="00063E7C">
      <w:pPr>
        <w:widowControl w:val="0"/>
        <w:adjustRightInd w:val="0"/>
        <w:spacing w:after="0"/>
        <w:ind w:firstLine="720"/>
        <w:jc w:val="both"/>
        <w:textAlignment w:val="baseline"/>
        <w:rPr>
          <w:rFonts w:ascii="Times New Roman" w:hAnsi="Times New Roman" w:cs="Times New Roman"/>
          <w:sz w:val="28"/>
          <w:szCs w:val="28"/>
        </w:rPr>
      </w:pPr>
      <w:r w:rsidRPr="00063E7C">
        <w:rPr>
          <w:rFonts w:ascii="Times New Roman" w:hAnsi="Times New Roman" w:cs="Times New Roman"/>
          <w:sz w:val="28"/>
          <w:szCs w:val="28"/>
        </w:rPr>
        <w:t xml:space="preserve">Под особый контроль взяты вопросы по соблюдению сроков выплаты заработной платы работникам, выявление работодателей, уклоняющихся от оформления трудовых отношений с работниками, использующих «серые» схемы выплаты заработной платы.  Для выявления случаев задолженности по выплате заработной платы и нарушения прав работников в администрации городского округа создана и действует телефонная «горячая линия». </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Наиболее верным отражением результатов работы экономики муниципального образования является динамика показателей, характеризующих уровень жизни населения. </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Основным показателем уровня жизни являются доходы населения, в которых  главной составляющей остается  оплата труда работников.</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В 2015 году среднемесячная </w:t>
      </w:r>
      <w:r w:rsidRPr="00063E7C">
        <w:rPr>
          <w:rFonts w:ascii="Times New Roman" w:hAnsi="Times New Roman" w:cs="Times New Roman"/>
          <w:b/>
          <w:i/>
          <w:sz w:val="28"/>
          <w:szCs w:val="28"/>
        </w:rPr>
        <w:t>номинальная заработная плата</w:t>
      </w:r>
      <w:r w:rsidRPr="00063E7C">
        <w:rPr>
          <w:rFonts w:ascii="Times New Roman" w:hAnsi="Times New Roman" w:cs="Times New Roman"/>
          <w:sz w:val="28"/>
          <w:szCs w:val="28"/>
        </w:rPr>
        <w:t xml:space="preserve"> на одного работающего по полному кругу организаций муниципального образования   составила 101,4 тыс.рублей (в 2014 году - 88 тыс. рублей). Без учета организаций, работающих на шельфовых проектах, величина среднемесячной заработной платы равна 50,8 тыс.рублей.</w:t>
      </w:r>
    </w:p>
    <w:p w:rsidR="00063E7C" w:rsidRPr="00063E7C" w:rsidRDefault="00063E7C" w:rsidP="00063E7C">
      <w:pPr>
        <w:keepNext/>
        <w:widowControl w:val="0"/>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В соответствии с Указом Президента Российской Федерации от 7 мая 2012 года № 597 «О мероприятиях по реализации государственной </w:t>
      </w:r>
      <w:r w:rsidRPr="00063E7C">
        <w:rPr>
          <w:rFonts w:ascii="Times New Roman" w:hAnsi="Times New Roman" w:cs="Times New Roman"/>
          <w:sz w:val="28"/>
          <w:szCs w:val="28"/>
        </w:rPr>
        <w:lastRenderedPageBreak/>
        <w:t>социальной политики» в муниципальном образовании  реализуются меры по поэтапному достижению целевых ориентиров повышения заработной платы отдельных категорий работников.</w:t>
      </w:r>
    </w:p>
    <w:p w:rsidR="00063E7C" w:rsidRPr="00063E7C" w:rsidRDefault="00063E7C" w:rsidP="00063E7C">
      <w:pPr>
        <w:keepNext/>
        <w:widowControl w:val="0"/>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В результате по итогам 2015 года среднемесячная заработная плата работников бюджетных организаций составила 58,6 тыс.рублей. Средняя заработная плата </w:t>
      </w:r>
      <w:r w:rsidRPr="00063E7C">
        <w:rPr>
          <w:rFonts w:ascii="Times New Roman" w:hAnsi="Times New Roman" w:cs="Times New Roman"/>
          <w:i/>
          <w:sz w:val="28"/>
          <w:szCs w:val="28"/>
        </w:rPr>
        <w:t>учителя</w:t>
      </w:r>
      <w:r w:rsidRPr="00063E7C">
        <w:rPr>
          <w:rFonts w:ascii="Times New Roman" w:hAnsi="Times New Roman" w:cs="Times New Roman"/>
          <w:sz w:val="28"/>
          <w:szCs w:val="28"/>
        </w:rPr>
        <w:t xml:space="preserve"> составила 67,8 тыс.рублей. Это 113,4% к средней зарплате, сложившейся в Сахалинской области за 2015 год. Педагогические работники </w:t>
      </w:r>
      <w:r w:rsidRPr="00063E7C">
        <w:rPr>
          <w:rFonts w:ascii="Times New Roman" w:hAnsi="Times New Roman" w:cs="Times New Roman"/>
          <w:i/>
          <w:sz w:val="28"/>
          <w:szCs w:val="28"/>
        </w:rPr>
        <w:t>дошкольных</w:t>
      </w:r>
      <w:r w:rsidRPr="00063E7C">
        <w:rPr>
          <w:rFonts w:ascii="Times New Roman" w:hAnsi="Times New Roman" w:cs="Times New Roman"/>
          <w:sz w:val="28"/>
          <w:szCs w:val="28"/>
        </w:rPr>
        <w:t xml:space="preserve"> образовательных учреждений имели среднюю заработную плату в размере 55,2 тыс.рублей (92,3% к средней зарплате по субъекту), а педагогические работники учреждений </w:t>
      </w:r>
      <w:r w:rsidRPr="00063E7C">
        <w:rPr>
          <w:rFonts w:ascii="Times New Roman" w:hAnsi="Times New Roman" w:cs="Times New Roman"/>
          <w:i/>
          <w:sz w:val="28"/>
          <w:szCs w:val="28"/>
        </w:rPr>
        <w:t>дополнительного образования</w:t>
      </w:r>
      <w:r w:rsidRPr="00063E7C">
        <w:rPr>
          <w:rFonts w:ascii="Times New Roman" w:hAnsi="Times New Roman" w:cs="Times New Roman"/>
          <w:sz w:val="28"/>
          <w:szCs w:val="28"/>
        </w:rPr>
        <w:t xml:space="preserve"> – 61,4 тыс.рублей (102,7% к средней зарплате по субъекту). Уровень начисленной заработной платы работников учреждений культуры составил 45,2 тыс.рублей или 75,6% к среднеобластному показателю. </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По оценке, среднемесячный доход на душу населения в 2015 году составил 45 тыс.рублей и увеличился к уровню 2014 года на 9,6%. При этом, реальный размер среднедушевого дохода уменьшился на 1%. Достигнутый уровень денежных доходов превысил величину прожиточного минимума в области в 3,3 раза.</w:t>
      </w:r>
    </w:p>
    <w:p w:rsidR="00146562" w:rsidRDefault="00063E7C" w:rsidP="00063E7C">
      <w:pPr>
        <w:spacing w:after="0"/>
        <w:ind w:firstLine="720"/>
        <w:jc w:val="both"/>
        <w:rPr>
          <w:rFonts w:ascii="Times New Roman" w:hAnsi="Times New Roman" w:cs="Times New Roman"/>
          <w:color w:val="FF0000"/>
          <w:sz w:val="28"/>
          <w:szCs w:val="28"/>
        </w:rPr>
      </w:pPr>
      <w:r w:rsidRPr="00063E7C">
        <w:rPr>
          <w:rFonts w:ascii="Times New Roman" w:hAnsi="Times New Roman" w:cs="Times New Roman"/>
          <w:color w:val="FF0000"/>
          <w:sz w:val="28"/>
          <w:szCs w:val="28"/>
        </w:rPr>
        <w:t xml:space="preserve"> </w:t>
      </w:r>
    </w:p>
    <w:p w:rsidR="00063E7C" w:rsidRPr="00063E7C" w:rsidRDefault="00063E7C" w:rsidP="00063E7C">
      <w:pPr>
        <w:spacing w:after="0"/>
        <w:ind w:firstLine="720"/>
        <w:jc w:val="both"/>
        <w:rPr>
          <w:rFonts w:ascii="Times New Roman" w:hAnsi="Times New Roman" w:cs="Times New Roman"/>
          <w:color w:val="FF0000"/>
          <w:sz w:val="28"/>
          <w:szCs w:val="28"/>
        </w:rPr>
      </w:pPr>
      <w:r w:rsidRPr="00063E7C">
        <w:rPr>
          <w:rFonts w:ascii="Times New Roman" w:hAnsi="Times New Roman" w:cs="Times New Roman"/>
          <w:noProof/>
          <w:color w:val="FF0000"/>
          <w:sz w:val="28"/>
          <w:szCs w:val="28"/>
          <w:lang w:eastAsia="ru-RU"/>
        </w:rPr>
        <w:drawing>
          <wp:inline distT="0" distB="0" distL="0" distR="0">
            <wp:extent cx="5935345" cy="2882900"/>
            <wp:effectExtent l="0" t="0" r="0" b="0"/>
            <wp:docPr id="4"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63E7C" w:rsidRPr="00063E7C" w:rsidRDefault="00063E7C" w:rsidP="00063E7C">
      <w:pPr>
        <w:pStyle w:val="34"/>
        <w:spacing w:after="0"/>
        <w:ind w:left="0" w:firstLine="540"/>
        <w:jc w:val="center"/>
        <w:rPr>
          <w:i/>
          <w:sz w:val="24"/>
          <w:szCs w:val="24"/>
        </w:rPr>
      </w:pPr>
      <w:r>
        <w:rPr>
          <w:i/>
          <w:sz w:val="24"/>
          <w:szCs w:val="24"/>
        </w:rPr>
        <w:t>Рисунок</w:t>
      </w:r>
      <w:r w:rsidRPr="00063E7C">
        <w:rPr>
          <w:i/>
          <w:sz w:val="24"/>
          <w:szCs w:val="24"/>
        </w:rPr>
        <w:t xml:space="preserve"> 4</w:t>
      </w:r>
    </w:p>
    <w:p w:rsidR="00063E7C" w:rsidRPr="00063E7C" w:rsidRDefault="00063E7C" w:rsidP="00063E7C">
      <w:pPr>
        <w:pStyle w:val="34"/>
        <w:spacing w:after="0"/>
        <w:ind w:left="0" w:firstLine="540"/>
        <w:jc w:val="center"/>
        <w:rPr>
          <w:sz w:val="28"/>
          <w:szCs w:val="28"/>
          <w:u w:val="single"/>
        </w:rPr>
      </w:pP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 xml:space="preserve">Согласно данным службы государственной статистики задолженность по выплате заработной платы на 01.01.16 отсутствует.   </w:t>
      </w:r>
    </w:p>
    <w:p w:rsidR="00063E7C" w:rsidRPr="00063E7C" w:rsidRDefault="00063E7C" w:rsidP="00063E7C">
      <w:pPr>
        <w:spacing w:after="0"/>
        <w:ind w:right="-93" w:firstLine="561"/>
        <w:jc w:val="both"/>
        <w:rPr>
          <w:rFonts w:ascii="Times New Roman" w:hAnsi="Times New Roman" w:cs="Times New Roman"/>
          <w:sz w:val="28"/>
          <w:szCs w:val="28"/>
        </w:rPr>
      </w:pPr>
      <w:r w:rsidRPr="00063E7C">
        <w:rPr>
          <w:rFonts w:ascii="Times New Roman" w:hAnsi="Times New Roman" w:cs="Times New Roman"/>
          <w:sz w:val="28"/>
          <w:szCs w:val="28"/>
        </w:rPr>
        <w:t xml:space="preserve">В области </w:t>
      </w:r>
      <w:r w:rsidRPr="00063E7C">
        <w:rPr>
          <w:rFonts w:ascii="Times New Roman" w:hAnsi="Times New Roman" w:cs="Times New Roman"/>
          <w:b/>
          <w:i/>
          <w:sz w:val="28"/>
          <w:szCs w:val="28"/>
        </w:rPr>
        <w:t>пенсионного обеспечения</w:t>
      </w:r>
      <w:r w:rsidRPr="00063E7C">
        <w:rPr>
          <w:rFonts w:ascii="Times New Roman" w:hAnsi="Times New Roman" w:cs="Times New Roman"/>
          <w:sz w:val="28"/>
          <w:szCs w:val="28"/>
        </w:rPr>
        <w:t xml:space="preserve"> главной задачей является повышение уровня жизни пенсионеров. В структуре населения муниципального образования пенсионеры составляют весьма солидную долю — их численность  по состоянию на 01.01.2016 года составляет 4 035 </w:t>
      </w:r>
      <w:r w:rsidRPr="00063E7C">
        <w:rPr>
          <w:rFonts w:ascii="Times New Roman" w:hAnsi="Times New Roman" w:cs="Times New Roman"/>
          <w:sz w:val="28"/>
          <w:szCs w:val="28"/>
        </w:rPr>
        <w:lastRenderedPageBreak/>
        <w:t>человек (35,6% в общей численности населения).  Практически каждый третий житель городского округа является пенсионером.</w:t>
      </w:r>
    </w:p>
    <w:p w:rsidR="00063E7C" w:rsidRPr="00063E7C" w:rsidRDefault="00063E7C" w:rsidP="00063E7C">
      <w:pPr>
        <w:spacing w:after="0"/>
        <w:ind w:firstLine="708"/>
        <w:jc w:val="both"/>
        <w:rPr>
          <w:rFonts w:ascii="Times New Roman" w:hAnsi="Times New Roman" w:cs="Times New Roman"/>
          <w:sz w:val="28"/>
          <w:szCs w:val="28"/>
        </w:rPr>
      </w:pPr>
      <w:r w:rsidRPr="00063E7C">
        <w:rPr>
          <w:rFonts w:ascii="Times New Roman" w:hAnsi="Times New Roman" w:cs="Times New Roman"/>
          <w:bCs/>
          <w:sz w:val="28"/>
          <w:szCs w:val="28"/>
        </w:rPr>
        <w:t>За январь - декабрь  2015 года</w:t>
      </w:r>
      <w:r w:rsidRPr="00063E7C">
        <w:rPr>
          <w:rFonts w:ascii="Times New Roman" w:hAnsi="Times New Roman" w:cs="Times New Roman"/>
          <w:sz w:val="28"/>
          <w:szCs w:val="28"/>
        </w:rPr>
        <w:t xml:space="preserve">  н</w:t>
      </w:r>
      <w:r w:rsidRPr="00063E7C">
        <w:rPr>
          <w:rFonts w:ascii="Times New Roman" w:hAnsi="Times New Roman" w:cs="Times New Roman"/>
          <w:bCs/>
          <w:sz w:val="28"/>
          <w:szCs w:val="28"/>
        </w:rPr>
        <w:t>а пенсионное обеспечение и другие социальные выплаты жителям муниципального образования</w:t>
      </w:r>
      <w:r w:rsidRPr="00063E7C">
        <w:rPr>
          <w:rFonts w:ascii="Times New Roman" w:hAnsi="Times New Roman" w:cs="Times New Roman"/>
          <w:sz w:val="28"/>
          <w:szCs w:val="28"/>
        </w:rPr>
        <w:t xml:space="preserve"> УПФР в Ногликском районе направило 934,2 млн. руб.. С</w:t>
      </w:r>
      <w:r w:rsidRPr="00063E7C">
        <w:rPr>
          <w:rFonts w:ascii="Times New Roman" w:hAnsi="Times New Roman" w:cs="Times New Roman"/>
          <w:bCs/>
          <w:sz w:val="28"/>
          <w:szCs w:val="28"/>
        </w:rPr>
        <w:t>редний размер трудовой пенсии  на 01.01.2015 года составил 19,3 тыс.рублей и вырос  по сравнению с аналогичным периодом прошлого года на 11% .</w:t>
      </w:r>
    </w:p>
    <w:p w:rsidR="00063E7C" w:rsidRDefault="00063E7C" w:rsidP="00063E7C">
      <w:pPr>
        <w:spacing w:after="0"/>
        <w:jc w:val="both"/>
        <w:rPr>
          <w:rFonts w:ascii="Times New Roman" w:hAnsi="Times New Roman" w:cs="Times New Roman"/>
          <w:sz w:val="28"/>
          <w:szCs w:val="28"/>
        </w:rPr>
      </w:pPr>
    </w:p>
    <w:p w:rsidR="00063E7C" w:rsidRDefault="00063E7C" w:rsidP="00063E7C">
      <w:pPr>
        <w:spacing w:after="0"/>
        <w:ind w:firstLine="561"/>
        <w:jc w:val="center"/>
        <w:rPr>
          <w:rFonts w:ascii="Times New Roman" w:hAnsi="Times New Roman" w:cs="Times New Roman"/>
          <w:b/>
          <w:sz w:val="28"/>
          <w:szCs w:val="28"/>
        </w:rPr>
      </w:pPr>
    </w:p>
    <w:p w:rsidR="00146562" w:rsidRDefault="00146562" w:rsidP="00063E7C">
      <w:pPr>
        <w:spacing w:after="0"/>
        <w:ind w:firstLine="561"/>
        <w:jc w:val="center"/>
        <w:rPr>
          <w:rFonts w:ascii="Times New Roman" w:hAnsi="Times New Roman" w:cs="Times New Roman"/>
          <w:b/>
          <w:sz w:val="28"/>
          <w:szCs w:val="28"/>
        </w:rPr>
      </w:pPr>
    </w:p>
    <w:p w:rsidR="00063E7C" w:rsidRPr="00063E7C" w:rsidRDefault="00063E7C" w:rsidP="00063E7C">
      <w:pPr>
        <w:spacing w:after="0"/>
        <w:ind w:firstLine="561"/>
        <w:jc w:val="center"/>
        <w:rPr>
          <w:rFonts w:ascii="Times New Roman" w:hAnsi="Times New Roman" w:cs="Times New Roman"/>
          <w:b/>
          <w:sz w:val="28"/>
          <w:szCs w:val="28"/>
        </w:rPr>
      </w:pPr>
      <w:r w:rsidRPr="00063E7C">
        <w:rPr>
          <w:rFonts w:ascii="Times New Roman" w:hAnsi="Times New Roman" w:cs="Times New Roman"/>
          <w:b/>
          <w:sz w:val="28"/>
          <w:szCs w:val="28"/>
        </w:rPr>
        <w:t>Реальный сектор экономики</w:t>
      </w:r>
    </w:p>
    <w:p w:rsidR="00063E7C" w:rsidRPr="00063E7C" w:rsidRDefault="00063E7C" w:rsidP="00063E7C">
      <w:pPr>
        <w:spacing w:after="0"/>
        <w:ind w:firstLine="720"/>
        <w:jc w:val="both"/>
        <w:rPr>
          <w:rFonts w:ascii="Times New Roman" w:hAnsi="Times New Roman" w:cs="Times New Roman"/>
          <w:sz w:val="28"/>
          <w:szCs w:val="28"/>
        </w:rPr>
      </w:pPr>
    </w:p>
    <w:p w:rsidR="00063E7C" w:rsidRPr="00063E7C" w:rsidRDefault="00063E7C" w:rsidP="00063E7C">
      <w:pPr>
        <w:spacing w:after="0"/>
        <w:ind w:firstLine="561"/>
        <w:jc w:val="both"/>
        <w:rPr>
          <w:rFonts w:ascii="Times New Roman" w:hAnsi="Times New Roman" w:cs="Times New Roman"/>
          <w:sz w:val="28"/>
          <w:szCs w:val="28"/>
        </w:rPr>
      </w:pPr>
      <w:r w:rsidRPr="00063E7C">
        <w:rPr>
          <w:rFonts w:ascii="Times New Roman" w:hAnsi="Times New Roman" w:cs="Times New Roman"/>
          <w:b/>
          <w:i/>
          <w:sz w:val="28"/>
          <w:szCs w:val="28"/>
        </w:rPr>
        <w:t>Объем промышленного производства</w:t>
      </w:r>
      <w:r w:rsidRPr="00063E7C">
        <w:rPr>
          <w:rFonts w:ascii="Times New Roman" w:hAnsi="Times New Roman" w:cs="Times New Roman"/>
          <w:i/>
          <w:sz w:val="28"/>
          <w:szCs w:val="28"/>
        </w:rPr>
        <w:t xml:space="preserve"> </w:t>
      </w:r>
      <w:r w:rsidRPr="00063E7C">
        <w:rPr>
          <w:rFonts w:ascii="Times New Roman" w:hAnsi="Times New Roman" w:cs="Times New Roman"/>
          <w:sz w:val="28"/>
          <w:szCs w:val="28"/>
        </w:rPr>
        <w:t xml:space="preserve">в 2015 году составил 362,6 млрд.рублей, что в сопоставимой оценке составляет 79,8 процентов к уровню прошлого года. </w:t>
      </w:r>
    </w:p>
    <w:p w:rsidR="00063E7C" w:rsidRPr="00063E7C" w:rsidRDefault="00063E7C" w:rsidP="00063E7C">
      <w:pPr>
        <w:spacing w:after="0"/>
        <w:ind w:firstLine="561"/>
        <w:jc w:val="both"/>
        <w:rPr>
          <w:rFonts w:ascii="Times New Roman" w:hAnsi="Times New Roman" w:cs="Times New Roman"/>
          <w:sz w:val="28"/>
          <w:szCs w:val="28"/>
        </w:rPr>
      </w:pPr>
      <w:r w:rsidRPr="00063E7C">
        <w:rPr>
          <w:rFonts w:ascii="Times New Roman" w:hAnsi="Times New Roman" w:cs="Times New Roman"/>
          <w:sz w:val="28"/>
          <w:szCs w:val="28"/>
        </w:rPr>
        <w:t>Сохраняя лидирующую позицию, муниципальное образование на 47,9 процентов обеспечило формирование объема  промышленного производства  2015 года всей Сахалинской области</w:t>
      </w:r>
      <w:r>
        <w:rPr>
          <w:rFonts w:ascii="Times New Roman" w:hAnsi="Times New Roman" w:cs="Times New Roman"/>
          <w:sz w:val="28"/>
          <w:szCs w:val="28"/>
        </w:rPr>
        <w:t>.</w:t>
      </w:r>
    </w:p>
    <w:p w:rsidR="00063E7C" w:rsidRDefault="00063E7C"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26785D" w:rsidRDefault="0026785D" w:rsidP="00063E7C">
      <w:pPr>
        <w:ind w:firstLine="561"/>
        <w:jc w:val="both"/>
        <w:rPr>
          <w:color w:val="FF0000"/>
          <w:sz w:val="28"/>
          <w:szCs w:val="28"/>
        </w:rPr>
      </w:pPr>
    </w:p>
    <w:p w:rsidR="00146562" w:rsidRDefault="00146562" w:rsidP="00063E7C">
      <w:pPr>
        <w:ind w:firstLine="561"/>
        <w:jc w:val="both"/>
        <w:rPr>
          <w:color w:val="FF0000"/>
          <w:sz w:val="28"/>
          <w:szCs w:val="28"/>
        </w:rPr>
      </w:pPr>
    </w:p>
    <w:p w:rsidR="00146562" w:rsidRDefault="00146562" w:rsidP="00063E7C">
      <w:pPr>
        <w:ind w:firstLine="561"/>
        <w:jc w:val="both"/>
        <w:rPr>
          <w:color w:val="FF0000"/>
          <w:sz w:val="28"/>
          <w:szCs w:val="28"/>
        </w:rPr>
      </w:pPr>
    </w:p>
    <w:p w:rsidR="00146562" w:rsidRPr="004639B1" w:rsidRDefault="00146562" w:rsidP="00063E7C">
      <w:pPr>
        <w:ind w:firstLine="561"/>
        <w:jc w:val="both"/>
        <w:rPr>
          <w:color w:val="FF0000"/>
          <w:sz w:val="28"/>
          <w:szCs w:val="28"/>
        </w:rPr>
      </w:pPr>
    </w:p>
    <w:p w:rsidR="00063E7C" w:rsidRPr="0026785D" w:rsidRDefault="00063E7C" w:rsidP="00063E7C">
      <w:pPr>
        <w:spacing w:after="0"/>
        <w:ind w:firstLine="720"/>
        <w:jc w:val="center"/>
        <w:rPr>
          <w:rFonts w:ascii="Times New Roman" w:hAnsi="Times New Roman" w:cs="Times New Roman"/>
          <w:b/>
          <w:sz w:val="28"/>
          <w:szCs w:val="28"/>
        </w:rPr>
      </w:pPr>
      <w:r w:rsidRPr="0026785D">
        <w:rPr>
          <w:rFonts w:ascii="Times New Roman" w:hAnsi="Times New Roman" w:cs="Times New Roman"/>
          <w:b/>
          <w:sz w:val="28"/>
          <w:szCs w:val="28"/>
        </w:rPr>
        <w:lastRenderedPageBreak/>
        <w:t xml:space="preserve">Объем промышленного производства  </w:t>
      </w:r>
    </w:p>
    <w:p w:rsidR="00063E7C" w:rsidRPr="0026785D" w:rsidRDefault="00063E7C" w:rsidP="00063E7C">
      <w:pPr>
        <w:spacing w:after="0"/>
        <w:ind w:firstLine="720"/>
        <w:jc w:val="center"/>
        <w:rPr>
          <w:rFonts w:ascii="Times New Roman" w:hAnsi="Times New Roman" w:cs="Times New Roman"/>
          <w:b/>
          <w:sz w:val="28"/>
          <w:szCs w:val="28"/>
        </w:rPr>
      </w:pPr>
      <w:r w:rsidRPr="0026785D">
        <w:rPr>
          <w:rFonts w:ascii="Times New Roman" w:hAnsi="Times New Roman" w:cs="Times New Roman"/>
          <w:b/>
          <w:sz w:val="28"/>
          <w:szCs w:val="28"/>
        </w:rPr>
        <w:t xml:space="preserve">МО «Городской округ Ногликский» </w:t>
      </w:r>
    </w:p>
    <w:p w:rsidR="00063E7C" w:rsidRPr="0026785D" w:rsidRDefault="00063E7C" w:rsidP="00063E7C">
      <w:pPr>
        <w:spacing w:after="0"/>
        <w:ind w:firstLine="708"/>
        <w:jc w:val="center"/>
        <w:rPr>
          <w:rFonts w:ascii="Times New Roman" w:hAnsi="Times New Roman" w:cs="Times New Roman"/>
          <w:b/>
          <w:sz w:val="28"/>
          <w:szCs w:val="28"/>
        </w:rPr>
      </w:pPr>
      <w:r w:rsidRPr="0026785D">
        <w:rPr>
          <w:rFonts w:ascii="Times New Roman" w:hAnsi="Times New Roman" w:cs="Times New Roman"/>
          <w:b/>
          <w:sz w:val="28"/>
          <w:szCs w:val="28"/>
        </w:rPr>
        <w:t xml:space="preserve"> в  объеме промышленного производства  Сахалинской области</w:t>
      </w:r>
    </w:p>
    <w:p w:rsidR="00063E7C" w:rsidRPr="0026785D" w:rsidRDefault="00063E7C" w:rsidP="00063E7C">
      <w:pPr>
        <w:spacing w:after="0"/>
        <w:jc w:val="center"/>
        <w:rPr>
          <w:rFonts w:ascii="Times New Roman" w:hAnsi="Times New Roman" w:cs="Times New Roman"/>
          <w:sz w:val="26"/>
          <w:szCs w:val="26"/>
        </w:rPr>
      </w:pPr>
      <w:r w:rsidRPr="0026785D">
        <w:rPr>
          <w:rFonts w:ascii="Times New Roman" w:hAnsi="Times New Roman" w:cs="Times New Roman"/>
          <w:b/>
          <w:sz w:val="28"/>
          <w:szCs w:val="28"/>
        </w:rPr>
        <w:t xml:space="preserve">в период 2007-2015  гг. </w:t>
      </w:r>
    </w:p>
    <w:p w:rsidR="00063E7C" w:rsidRPr="0026785D" w:rsidRDefault="00063E7C" w:rsidP="0026785D">
      <w:pPr>
        <w:ind w:firstLine="708"/>
        <w:jc w:val="right"/>
        <w:rPr>
          <w:rFonts w:ascii="Times New Roman" w:hAnsi="Times New Roman" w:cs="Times New Roman"/>
          <w:b/>
        </w:rPr>
      </w:pPr>
      <w:r w:rsidRPr="0026785D">
        <w:rPr>
          <w:rFonts w:ascii="Times New Roman" w:hAnsi="Times New Roman" w:cs="Times New Roman"/>
          <w:b/>
        </w:rPr>
        <w:t>(млрд.рублей)</w:t>
      </w:r>
    </w:p>
    <w:p w:rsidR="00063E7C" w:rsidRDefault="00063E7C" w:rsidP="00063E7C">
      <w:pPr>
        <w:ind w:firstLine="561"/>
        <w:jc w:val="both"/>
        <w:rPr>
          <w:sz w:val="28"/>
          <w:szCs w:val="28"/>
        </w:rPr>
      </w:pPr>
      <w:r>
        <w:rPr>
          <w:noProof/>
          <w:sz w:val="28"/>
          <w:szCs w:val="28"/>
          <w:lang w:eastAsia="ru-RU"/>
        </w:rPr>
        <w:drawing>
          <wp:inline distT="0" distB="0" distL="0" distR="0">
            <wp:extent cx="5951855" cy="3340100"/>
            <wp:effectExtent l="0" t="0" r="0" b="0"/>
            <wp:docPr id="9" name="Объект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63E7C" w:rsidRPr="0026785D" w:rsidRDefault="0026785D" w:rsidP="0026785D">
      <w:pPr>
        <w:ind w:firstLine="561"/>
        <w:jc w:val="center"/>
        <w:rPr>
          <w:rFonts w:ascii="Times New Roman" w:hAnsi="Times New Roman" w:cs="Times New Roman"/>
          <w:i/>
          <w:sz w:val="24"/>
          <w:szCs w:val="24"/>
        </w:rPr>
      </w:pPr>
      <w:r w:rsidRPr="0026785D">
        <w:rPr>
          <w:rFonts w:ascii="Times New Roman" w:hAnsi="Times New Roman" w:cs="Times New Roman"/>
          <w:i/>
          <w:sz w:val="24"/>
          <w:szCs w:val="24"/>
        </w:rPr>
        <w:t>Рисунок 5</w:t>
      </w:r>
    </w:p>
    <w:p w:rsidR="0026785D" w:rsidRDefault="0026785D" w:rsidP="00063E7C">
      <w:pPr>
        <w:spacing w:after="0"/>
        <w:ind w:firstLine="709"/>
        <w:jc w:val="both"/>
        <w:rPr>
          <w:rFonts w:ascii="Times New Roman" w:hAnsi="Times New Roman" w:cs="Times New Roman"/>
          <w:sz w:val="28"/>
          <w:szCs w:val="28"/>
        </w:rPr>
      </w:pPr>
    </w:p>
    <w:p w:rsidR="00063E7C" w:rsidRPr="00063E7C" w:rsidRDefault="00063E7C" w:rsidP="00063E7C">
      <w:pPr>
        <w:spacing w:after="0"/>
        <w:ind w:firstLine="709"/>
        <w:jc w:val="both"/>
        <w:rPr>
          <w:rFonts w:ascii="Times New Roman" w:hAnsi="Times New Roman" w:cs="Times New Roman"/>
          <w:sz w:val="28"/>
          <w:szCs w:val="28"/>
        </w:rPr>
      </w:pPr>
      <w:r w:rsidRPr="00063E7C">
        <w:rPr>
          <w:rFonts w:ascii="Times New Roman" w:hAnsi="Times New Roman" w:cs="Times New Roman"/>
          <w:sz w:val="28"/>
          <w:szCs w:val="28"/>
        </w:rPr>
        <w:t xml:space="preserve">В </w:t>
      </w:r>
      <w:r w:rsidRPr="00063E7C">
        <w:rPr>
          <w:rFonts w:ascii="Times New Roman" w:hAnsi="Times New Roman" w:cs="Times New Roman"/>
          <w:b/>
          <w:i/>
          <w:sz w:val="28"/>
          <w:szCs w:val="28"/>
        </w:rPr>
        <w:t xml:space="preserve">нефтедобывающей отрасли, </w:t>
      </w:r>
      <w:r w:rsidRPr="00063E7C">
        <w:rPr>
          <w:rFonts w:ascii="Times New Roman" w:hAnsi="Times New Roman" w:cs="Times New Roman"/>
          <w:sz w:val="28"/>
          <w:szCs w:val="28"/>
        </w:rPr>
        <w:t xml:space="preserve">которая традиционно является лидером промышленного производства в городском округе, отмечено снижение объемов производства в стоимостном выражении к уровню прошлого года на  10,3 процента. </w:t>
      </w:r>
      <w:r w:rsidRPr="00063E7C">
        <w:rPr>
          <w:rFonts w:ascii="Times New Roman" w:hAnsi="Times New Roman" w:cs="Times New Roman"/>
          <w:b/>
          <w:i/>
          <w:sz w:val="28"/>
          <w:szCs w:val="28"/>
        </w:rPr>
        <w:t xml:space="preserve"> </w:t>
      </w:r>
    </w:p>
    <w:p w:rsidR="00063E7C" w:rsidRPr="00063E7C" w:rsidRDefault="00063E7C" w:rsidP="00063E7C">
      <w:pPr>
        <w:spacing w:after="0"/>
        <w:ind w:firstLine="709"/>
        <w:jc w:val="both"/>
        <w:rPr>
          <w:rFonts w:ascii="Times New Roman" w:hAnsi="Times New Roman" w:cs="Times New Roman"/>
          <w:sz w:val="28"/>
          <w:szCs w:val="28"/>
        </w:rPr>
      </w:pPr>
      <w:r w:rsidRPr="00063E7C">
        <w:rPr>
          <w:rFonts w:ascii="Times New Roman" w:hAnsi="Times New Roman" w:cs="Times New Roman"/>
          <w:sz w:val="28"/>
          <w:szCs w:val="28"/>
        </w:rPr>
        <w:t>В натуральном выражении объемы добычи углеводородного сырья к уровню 2014 года составили:</w:t>
      </w:r>
    </w:p>
    <w:p w:rsidR="00063E7C" w:rsidRPr="00063E7C" w:rsidRDefault="00063E7C" w:rsidP="00063E7C">
      <w:pPr>
        <w:spacing w:after="0"/>
        <w:ind w:firstLine="709"/>
        <w:jc w:val="both"/>
        <w:rPr>
          <w:rFonts w:ascii="Times New Roman" w:hAnsi="Times New Roman" w:cs="Times New Roman"/>
          <w:sz w:val="28"/>
          <w:szCs w:val="28"/>
        </w:rPr>
      </w:pPr>
      <w:r w:rsidRPr="00063E7C">
        <w:rPr>
          <w:rFonts w:ascii="Times New Roman" w:hAnsi="Times New Roman" w:cs="Times New Roman"/>
          <w:sz w:val="28"/>
          <w:szCs w:val="28"/>
        </w:rPr>
        <w:t>- нефть, включая газовый конденсат – 116 процентов;</w:t>
      </w:r>
    </w:p>
    <w:p w:rsidR="00063E7C" w:rsidRPr="00063E7C" w:rsidRDefault="00063E7C" w:rsidP="00063E7C">
      <w:pPr>
        <w:spacing w:after="0"/>
        <w:ind w:firstLine="709"/>
        <w:jc w:val="both"/>
        <w:rPr>
          <w:rFonts w:ascii="Times New Roman" w:hAnsi="Times New Roman" w:cs="Times New Roman"/>
          <w:sz w:val="28"/>
          <w:szCs w:val="28"/>
        </w:rPr>
      </w:pPr>
      <w:r w:rsidRPr="00063E7C">
        <w:rPr>
          <w:rFonts w:ascii="Times New Roman" w:hAnsi="Times New Roman" w:cs="Times New Roman"/>
          <w:sz w:val="28"/>
          <w:szCs w:val="28"/>
        </w:rPr>
        <w:t>- газ природный и попутный  - 100,4 процента.</w:t>
      </w:r>
    </w:p>
    <w:p w:rsidR="00063E7C" w:rsidRPr="00063E7C" w:rsidRDefault="00063E7C" w:rsidP="00063E7C">
      <w:pPr>
        <w:spacing w:after="0"/>
        <w:ind w:firstLine="720"/>
        <w:jc w:val="both"/>
        <w:rPr>
          <w:rFonts w:ascii="Times New Roman" w:hAnsi="Times New Roman" w:cs="Times New Roman"/>
          <w:sz w:val="28"/>
          <w:szCs w:val="28"/>
        </w:rPr>
      </w:pPr>
      <w:r w:rsidRPr="00063E7C">
        <w:rPr>
          <w:rFonts w:ascii="Times New Roman" w:hAnsi="Times New Roman" w:cs="Times New Roman"/>
          <w:sz w:val="28"/>
          <w:szCs w:val="28"/>
        </w:rPr>
        <w:t>Динамика добычи нефти и газа представлена на диаграмме</w:t>
      </w:r>
    </w:p>
    <w:p w:rsidR="00063E7C" w:rsidRPr="0026785D" w:rsidRDefault="00063E7C" w:rsidP="0026785D">
      <w:pPr>
        <w:jc w:val="center"/>
        <w:rPr>
          <w:color w:val="0000FF"/>
          <w:sz w:val="28"/>
          <w:szCs w:val="28"/>
        </w:rPr>
      </w:pPr>
      <w:r>
        <w:rPr>
          <w:noProof/>
          <w:lang w:eastAsia="ru-RU"/>
        </w:rPr>
        <w:lastRenderedPageBreak/>
        <w:drawing>
          <wp:inline distT="0" distB="0" distL="0" distR="0">
            <wp:extent cx="6430433" cy="4601633"/>
            <wp:effectExtent l="0" t="0" r="0" b="0"/>
            <wp:docPr id="10" name="Объект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6785D" w:rsidRPr="0026785D" w:rsidRDefault="0026785D" w:rsidP="0026785D">
      <w:pPr>
        <w:ind w:firstLine="720"/>
        <w:jc w:val="center"/>
        <w:rPr>
          <w:rFonts w:ascii="Times New Roman" w:hAnsi="Times New Roman" w:cs="Times New Roman"/>
          <w:i/>
          <w:sz w:val="24"/>
          <w:szCs w:val="24"/>
        </w:rPr>
      </w:pPr>
      <w:r>
        <w:rPr>
          <w:rFonts w:ascii="Times New Roman" w:hAnsi="Times New Roman" w:cs="Times New Roman"/>
          <w:i/>
          <w:sz w:val="24"/>
          <w:szCs w:val="24"/>
        </w:rPr>
        <w:t>Рисунок 6</w:t>
      </w:r>
    </w:p>
    <w:p w:rsidR="00063E7C" w:rsidRPr="0026785D" w:rsidRDefault="00063E7C" w:rsidP="0026785D">
      <w:pPr>
        <w:spacing w:after="0"/>
        <w:ind w:firstLine="720"/>
        <w:jc w:val="both"/>
        <w:rPr>
          <w:rFonts w:ascii="Times New Roman" w:hAnsi="Times New Roman" w:cs="Times New Roman"/>
          <w:sz w:val="28"/>
          <w:szCs w:val="28"/>
        </w:rPr>
      </w:pPr>
      <w:r w:rsidRPr="0026785D">
        <w:rPr>
          <w:rFonts w:ascii="Times New Roman" w:hAnsi="Times New Roman" w:cs="Times New Roman"/>
          <w:sz w:val="28"/>
          <w:szCs w:val="28"/>
        </w:rPr>
        <w:t>Объем углеводородного сырья, добыча которого ведется в границах городского округа, на 95 процентов по нефти и на 99 процентов по газу  формируют объемы добычи углеводородов всей Сахалинской области.</w:t>
      </w:r>
    </w:p>
    <w:p w:rsidR="0026785D" w:rsidRDefault="0026785D" w:rsidP="0026785D">
      <w:pPr>
        <w:spacing w:after="0"/>
        <w:ind w:firstLine="708"/>
        <w:jc w:val="both"/>
        <w:rPr>
          <w:rFonts w:ascii="Times New Roman" w:hAnsi="Times New Roman" w:cs="Times New Roman"/>
          <w:sz w:val="28"/>
          <w:szCs w:val="28"/>
        </w:rPr>
      </w:pPr>
    </w:p>
    <w:p w:rsidR="00063E7C" w:rsidRPr="0026785D" w:rsidRDefault="00063E7C" w:rsidP="0026785D">
      <w:pPr>
        <w:spacing w:after="0"/>
        <w:ind w:firstLine="708"/>
        <w:jc w:val="both"/>
        <w:rPr>
          <w:rFonts w:ascii="Times New Roman" w:hAnsi="Times New Roman" w:cs="Times New Roman"/>
          <w:sz w:val="28"/>
          <w:szCs w:val="28"/>
        </w:rPr>
      </w:pPr>
      <w:r w:rsidRPr="0026785D">
        <w:rPr>
          <w:rFonts w:ascii="Times New Roman" w:hAnsi="Times New Roman" w:cs="Times New Roman"/>
          <w:sz w:val="28"/>
          <w:szCs w:val="28"/>
        </w:rPr>
        <w:t xml:space="preserve">Объемы выработки </w:t>
      </w:r>
      <w:r w:rsidRPr="0028428E">
        <w:rPr>
          <w:rFonts w:ascii="Times New Roman" w:hAnsi="Times New Roman" w:cs="Times New Roman"/>
          <w:b/>
          <w:i/>
          <w:sz w:val="28"/>
          <w:szCs w:val="28"/>
        </w:rPr>
        <w:t xml:space="preserve">энергоресурсов </w:t>
      </w:r>
      <w:r w:rsidRPr="0026785D">
        <w:rPr>
          <w:rFonts w:ascii="Times New Roman" w:hAnsi="Times New Roman" w:cs="Times New Roman"/>
          <w:sz w:val="28"/>
          <w:szCs w:val="28"/>
        </w:rPr>
        <w:t>с учетом их спроса потребителями</w:t>
      </w:r>
    </w:p>
    <w:p w:rsidR="00063E7C" w:rsidRPr="0026785D" w:rsidRDefault="00063E7C" w:rsidP="0026785D">
      <w:pPr>
        <w:spacing w:after="0"/>
        <w:jc w:val="both"/>
        <w:rPr>
          <w:rFonts w:ascii="Times New Roman" w:hAnsi="Times New Roman" w:cs="Times New Roman"/>
          <w:sz w:val="28"/>
          <w:szCs w:val="28"/>
        </w:rPr>
      </w:pPr>
      <w:r w:rsidRPr="0026785D">
        <w:rPr>
          <w:rFonts w:ascii="Times New Roman" w:hAnsi="Times New Roman" w:cs="Times New Roman"/>
          <w:sz w:val="28"/>
          <w:szCs w:val="28"/>
        </w:rPr>
        <w:t xml:space="preserve"> в натуральном выражении к уровню 2014 года выросли и составили:</w:t>
      </w:r>
    </w:p>
    <w:p w:rsidR="00063E7C" w:rsidRPr="0026785D" w:rsidRDefault="00063E7C" w:rsidP="0026785D">
      <w:pPr>
        <w:spacing w:after="0"/>
        <w:ind w:firstLine="708"/>
        <w:jc w:val="both"/>
        <w:rPr>
          <w:rFonts w:ascii="Times New Roman" w:hAnsi="Times New Roman" w:cs="Times New Roman"/>
          <w:sz w:val="28"/>
          <w:szCs w:val="28"/>
        </w:rPr>
      </w:pPr>
      <w:r w:rsidRPr="0026785D">
        <w:rPr>
          <w:rFonts w:ascii="Times New Roman" w:hAnsi="Times New Roman" w:cs="Times New Roman"/>
          <w:sz w:val="28"/>
          <w:szCs w:val="28"/>
        </w:rPr>
        <w:t>- по электроэнергии – 122,6 процентов;</w:t>
      </w:r>
    </w:p>
    <w:p w:rsidR="00063E7C" w:rsidRPr="0026785D" w:rsidRDefault="00063E7C" w:rsidP="0026785D">
      <w:pPr>
        <w:spacing w:after="0"/>
        <w:ind w:firstLine="708"/>
        <w:jc w:val="both"/>
        <w:rPr>
          <w:rFonts w:ascii="Times New Roman" w:hAnsi="Times New Roman" w:cs="Times New Roman"/>
          <w:sz w:val="28"/>
          <w:szCs w:val="28"/>
        </w:rPr>
      </w:pPr>
      <w:r w:rsidRPr="0026785D">
        <w:rPr>
          <w:rFonts w:ascii="Times New Roman" w:hAnsi="Times New Roman" w:cs="Times New Roman"/>
          <w:sz w:val="28"/>
          <w:szCs w:val="28"/>
        </w:rPr>
        <w:t>- по  тепловой энергии -  106 процентов.</w:t>
      </w:r>
    </w:p>
    <w:p w:rsidR="00063E7C" w:rsidRDefault="00063E7C" w:rsidP="00063E7C">
      <w:pPr>
        <w:jc w:val="both"/>
        <w:rPr>
          <w:b/>
          <w:color w:val="FF0000"/>
          <w:sz w:val="26"/>
          <w:szCs w:val="26"/>
        </w:rPr>
      </w:pPr>
      <w:r>
        <w:rPr>
          <w:b/>
          <w:noProof/>
          <w:color w:val="FF0000"/>
          <w:sz w:val="26"/>
          <w:szCs w:val="26"/>
          <w:lang w:eastAsia="ru-RU"/>
        </w:rPr>
        <w:lastRenderedPageBreak/>
        <w:drawing>
          <wp:inline distT="0" distB="0" distL="0" distR="0">
            <wp:extent cx="5935345" cy="4081145"/>
            <wp:effectExtent l="0" t="0" r="0" b="0"/>
            <wp:docPr id="11" name="Объект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b/>
          <w:noProof/>
          <w:color w:val="FF0000"/>
          <w:sz w:val="26"/>
          <w:szCs w:val="26"/>
          <w:lang w:eastAsia="ru-RU"/>
        </w:rPr>
        <w:drawing>
          <wp:inline distT="0" distB="0" distL="0" distR="0">
            <wp:extent cx="5863167" cy="3721836"/>
            <wp:effectExtent l="0" t="0" r="0" b="0"/>
            <wp:docPr id="12" name="Объект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63E7C" w:rsidRPr="0028428E" w:rsidRDefault="0028428E" w:rsidP="0028428E">
      <w:pPr>
        <w:jc w:val="center"/>
        <w:rPr>
          <w:rFonts w:ascii="Times New Roman" w:hAnsi="Times New Roman" w:cs="Times New Roman"/>
          <w:i/>
          <w:sz w:val="24"/>
          <w:szCs w:val="24"/>
        </w:rPr>
      </w:pPr>
      <w:r>
        <w:rPr>
          <w:rFonts w:ascii="Times New Roman" w:hAnsi="Times New Roman" w:cs="Times New Roman"/>
          <w:i/>
          <w:sz w:val="24"/>
          <w:szCs w:val="24"/>
        </w:rPr>
        <w:t xml:space="preserve">Рисунки  7 и </w:t>
      </w:r>
      <w:r w:rsidRPr="0028428E">
        <w:rPr>
          <w:rFonts w:ascii="Times New Roman" w:hAnsi="Times New Roman" w:cs="Times New Roman"/>
          <w:i/>
          <w:sz w:val="24"/>
          <w:szCs w:val="24"/>
        </w:rPr>
        <w:t>8</w:t>
      </w:r>
    </w:p>
    <w:p w:rsidR="00063E7C" w:rsidRPr="0028428E" w:rsidRDefault="00063E7C" w:rsidP="0028428E">
      <w:pPr>
        <w:spacing w:after="0"/>
        <w:ind w:firstLine="709"/>
        <w:jc w:val="both"/>
        <w:rPr>
          <w:rFonts w:ascii="Times New Roman" w:hAnsi="Times New Roman" w:cs="Times New Roman"/>
          <w:b/>
          <w:i/>
          <w:sz w:val="28"/>
          <w:szCs w:val="28"/>
        </w:rPr>
      </w:pPr>
      <w:r w:rsidRPr="0028428E">
        <w:rPr>
          <w:rFonts w:ascii="Times New Roman" w:hAnsi="Times New Roman" w:cs="Times New Roman"/>
          <w:b/>
          <w:i/>
          <w:sz w:val="28"/>
          <w:szCs w:val="28"/>
        </w:rPr>
        <w:t xml:space="preserve">Рыбопромышленный   комплекс </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На 1 января  2016  года количество  хозяйствующих  субъектов  в  рыбной  отрасли  составило  25 единиц.</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lastRenderedPageBreak/>
        <w:t xml:space="preserve">В период 2015 года осуществлялся вылов следующих основных объектов водных  биологических  ресурсов: горбуши, кеты, сельди и прочих видов ВБР (корюшки, наваги, мойвы, гольца, красноперки).  </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По информации полученной от предприятий, осуществляющих  добычу  водных  биологических  ресурсов  на  территории  муниципального  образования, общий объем добычи  по  указанным видам ВБР сложился  в размере 14  тыс.тонн, из них лососевых – 13,7 тыс.тонн.</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xml:space="preserve">В путину 2015 года 7 предприятий осуществляли   деятельность по первичной  переработке рыбы . Ими  было    переработано  37,5 процента   всех  выловленных  в  муниципальном  образовании  лососевых (факт 2014 года –переработано 26 процентов  выловленного объема лососевых).  </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Хозяйствующими субъектами  проведена  модернизация  действующих  береговых  перерабатывающих  мощностей. Объем инвестиций составил более 31  млн. рублей, было приобретено и введено в эксплуатацию новое оборудование:</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икорная линия и линия  по  переработке  рыбы  «НИКО»,</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xml:space="preserve">- холодильные мощности (1 000 тн., 100 тн. единовременного  хранения),  </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морозильные мощности (25 тн. в сутки) и льдогенератор (7 тн. в сутки).</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Перерабатывающие мощности предприятий муниципального образования по состоянию на 1 января 2016 года располагают:</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холодильным оборудованием, позволяющими единовременно  хранить  3,5 тыс. тонн  готовой продукции,</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морозильным оборудованием, которое обеспечивает заморозку  449  тонн  рыбы  сырца  в сутки.</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Все предприятия оснащены автоматизированными линиями по  разделке  лосося  и  имеют цеха  по  производству  деликатесной  продукции(14,5  тонн  икры  соленой  бочковой  в  сутки  и  5  тонн  икры  мороженой  в  ястыках)</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В рыбохозяйственном комплексе  сдерживающими  факторами  развития  являются:</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-цикличность  подхода  лососевых  (1  раз  в  два  года);</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-узкая  специализация  рыбохозяйственного  комплекса  (97,6 % от  всего  улова  приходится  на  вылов  одного вида ВБР - лососевых).</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 xml:space="preserve">Ежегодно предприятия  рыбопромышленного  комплекса  оказывают   благотворительную  помощь  социально-незащищенной  группе  населения, обеспечивая их рыбой на бесплатной основе.  Так и в путину  2015  года  населению  было  передано  7,5 тонн  горбуши. Поддержка населению была </w:t>
      </w:r>
      <w:r w:rsidRPr="0028428E">
        <w:rPr>
          <w:rFonts w:ascii="Times New Roman" w:hAnsi="Times New Roman" w:cs="Times New Roman"/>
          <w:sz w:val="28"/>
          <w:szCs w:val="28"/>
        </w:rPr>
        <w:lastRenderedPageBreak/>
        <w:t xml:space="preserve">оказана  предприятиями  и  индивидуальными  предпринимателями ООО «Даги», ООО «Ирида», ООО «Восток-Ноглики», ИП  Хрянин И.В., ИП  Шацков М.А. </w:t>
      </w:r>
    </w:p>
    <w:p w:rsidR="00063E7C" w:rsidRPr="0028428E" w:rsidRDefault="00063E7C" w:rsidP="0028428E">
      <w:pPr>
        <w:spacing w:after="0"/>
        <w:ind w:firstLine="709"/>
        <w:rPr>
          <w:rFonts w:ascii="Times New Roman" w:hAnsi="Times New Roman" w:cs="Times New Roman"/>
          <w:i/>
          <w:sz w:val="28"/>
          <w:szCs w:val="28"/>
        </w:rPr>
      </w:pPr>
      <w:r w:rsidRPr="0028428E">
        <w:rPr>
          <w:rFonts w:ascii="Times New Roman" w:hAnsi="Times New Roman" w:cs="Times New Roman"/>
          <w:i/>
          <w:sz w:val="28"/>
          <w:szCs w:val="28"/>
        </w:rPr>
        <w:t>Спортивное и любительское рыболовство</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В 2015 году  для населения было организовано  спортивное  и  любительское  рыболовство. Возможность выловить рыбу для личного самообеспечения была предоставлена рыбакам-любителям на  двух   местах  лова.  Стоимость  путевок  на  вылов  горбуши  составляла о  35    и   50  рублей, на  вылов кеты -150 рублей. Для ветеранов  военных  действий  и  многодетным  семьям  организатором  любительского  и  спортивного  рыболовства  компанией ООО НХ «Кайган»   предоставлялись  льготы.</w:t>
      </w:r>
    </w:p>
    <w:p w:rsidR="00063E7C" w:rsidRPr="0028428E" w:rsidRDefault="00063E7C" w:rsidP="0028428E">
      <w:pPr>
        <w:spacing w:after="0"/>
        <w:ind w:firstLine="709"/>
        <w:jc w:val="both"/>
        <w:rPr>
          <w:rFonts w:ascii="Times New Roman" w:hAnsi="Times New Roman" w:cs="Times New Roman"/>
          <w:sz w:val="28"/>
          <w:szCs w:val="28"/>
        </w:rPr>
      </w:pPr>
      <w:r w:rsidRPr="0028428E">
        <w:rPr>
          <w:rFonts w:ascii="Times New Roman" w:hAnsi="Times New Roman" w:cs="Times New Roman"/>
          <w:sz w:val="28"/>
          <w:szCs w:val="28"/>
        </w:rPr>
        <w:t>Кроме того, отделением многофункционального центра  предоставления  государственных     и  муниципальных  услуг  пгт.  Ноглики  и  администрацией  села  Вал  была  организована  выдача  именных  разрешений  на  бесплатный  вылов  лососевых  видов  рыб  удебными  орудиями  лова  в  территориальном  море  повсеместно.</w:t>
      </w:r>
    </w:p>
    <w:p w:rsidR="00063E7C" w:rsidRPr="0028428E" w:rsidRDefault="00063E7C" w:rsidP="0028428E">
      <w:pPr>
        <w:spacing w:after="0"/>
        <w:ind w:firstLine="709"/>
        <w:rPr>
          <w:rFonts w:ascii="Times New Roman" w:hAnsi="Times New Roman" w:cs="Times New Roman"/>
          <w:sz w:val="28"/>
          <w:szCs w:val="28"/>
        </w:rPr>
      </w:pPr>
    </w:p>
    <w:p w:rsidR="00063E7C" w:rsidRPr="0028428E" w:rsidRDefault="00063E7C" w:rsidP="0028428E">
      <w:pPr>
        <w:spacing w:after="0"/>
        <w:jc w:val="center"/>
        <w:rPr>
          <w:rFonts w:ascii="Times New Roman" w:hAnsi="Times New Roman" w:cs="Times New Roman"/>
          <w:b/>
          <w:sz w:val="28"/>
          <w:szCs w:val="28"/>
        </w:rPr>
      </w:pPr>
      <w:r w:rsidRPr="0028428E">
        <w:rPr>
          <w:rFonts w:ascii="Times New Roman" w:hAnsi="Times New Roman" w:cs="Times New Roman"/>
          <w:b/>
          <w:sz w:val="28"/>
          <w:szCs w:val="28"/>
        </w:rPr>
        <w:t>Вылов водных биологических ресурсов (ВБР)</w:t>
      </w:r>
    </w:p>
    <w:p w:rsidR="00063E7C" w:rsidRPr="0028428E" w:rsidRDefault="00063E7C" w:rsidP="0028428E">
      <w:pPr>
        <w:spacing w:after="0"/>
        <w:jc w:val="center"/>
        <w:rPr>
          <w:rFonts w:ascii="Times New Roman" w:hAnsi="Times New Roman" w:cs="Times New Roman"/>
          <w:b/>
          <w:i/>
          <w:sz w:val="28"/>
          <w:szCs w:val="28"/>
        </w:rPr>
      </w:pPr>
      <w:r w:rsidRPr="0028428E">
        <w:rPr>
          <w:rFonts w:ascii="Times New Roman" w:hAnsi="Times New Roman" w:cs="Times New Roman"/>
          <w:b/>
          <w:sz w:val="28"/>
          <w:szCs w:val="28"/>
        </w:rPr>
        <w:t xml:space="preserve">(тыс.тонн.) </w:t>
      </w:r>
      <w:r w:rsidRPr="0028428E">
        <w:rPr>
          <w:rFonts w:ascii="Times New Roman" w:hAnsi="Times New Roman" w:cs="Times New Roman"/>
          <w:b/>
          <w:i/>
          <w:sz w:val="28"/>
          <w:szCs w:val="28"/>
        </w:rPr>
        <w:t>данные оперативные</w:t>
      </w:r>
    </w:p>
    <w:p w:rsidR="00063E7C" w:rsidRDefault="00063E7C" w:rsidP="00063E7C">
      <w:pPr>
        <w:jc w:val="both"/>
        <w:rPr>
          <w:b/>
          <w:color w:val="FF0000"/>
          <w:sz w:val="28"/>
          <w:szCs w:val="28"/>
        </w:rPr>
      </w:pPr>
      <w:r>
        <w:rPr>
          <w:b/>
          <w:noProof/>
          <w:color w:val="FF0000"/>
          <w:sz w:val="28"/>
          <w:szCs w:val="28"/>
          <w:lang w:eastAsia="ru-RU"/>
        </w:rPr>
        <w:drawing>
          <wp:inline distT="0" distB="0" distL="0" distR="0">
            <wp:extent cx="5913755" cy="3408045"/>
            <wp:effectExtent l="0" t="0" r="0" b="0"/>
            <wp:docPr id="13" name="Объект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63E7C" w:rsidRPr="00E87200" w:rsidRDefault="00F107D8" w:rsidP="00F107D8">
      <w:pPr>
        <w:jc w:val="center"/>
        <w:rPr>
          <w:rFonts w:ascii="Times New Roman" w:hAnsi="Times New Roman" w:cs="Times New Roman"/>
          <w:i/>
          <w:sz w:val="24"/>
          <w:szCs w:val="24"/>
        </w:rPr>
      </w:pPr>
      <w:r w:rsidRPr="00E87200">
        <w:rPr>
          <w:rFonts w:ascii="Times New Roman" w:hAnsi="Times New Roman" w:cs="Times New Roman"/>
          <w:i/>
          <w:sz w:val="24"/>
          <w:szCs w:val="24"/>
        </w:rPr>
        <w:t>Рисунок 9</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b/>
          <w:sz w:val="28"/>
          <w:szCs w:val="28"/>
        </w:rPr>
        <w:t xml:space="preserve">В лесопромышленном  комплексе </w:t>
      </w:r>
      <w:r w:rsidRPr="00B43B5E">
        <w:rPr>
          <w:rFonts w:ascii="Times New Roman" w:hAnsi="Times New Roman" w:cs="Times New Roman"/>
          <w:sz w:val="28"/>
          <w:szCs w:val="28"/>
        </w:rPr>
        <w:t xml:space="preserve"> </w:t>
      </w:r>
    </w:p>
    <w:p w:rsidR="00063E7C" w:rsidRPr="00B43B5E" w:rsidRDefault="00063E7C" w:rsidP="00B43B5E">
      <w:pPr>
        <w:pStyle w:val="3"/>
        <w:widowControl w:val="0"/>
        <w:spacing w:line="300" w:lineRule="exact"/>
        <w:ind w:firstLine="709"/>
        <w:rPr>
          <w:sz w:val="28"/>
          <w:szCs w:val="28"/>
        </w:rPr>
      </w:pPr>
      <w:r w:rsidRPr="00B43B5E">
        <w:rPr>
          <w:sz w:val="28"/>
          <w:szCs w:val="28"/>
        </w:rPr>
        <w:t xml:space="preserve">По информации Ногликского  лесничества ГКУ «Сахалинские лесничества» общий объем заготовки леса всеми компаниями, ведущими заготовку леса на условиях договоров аренды в 2015 году возрос на 20,4 </w:t>
      </w:r>
      <w:r w:rsidRPr="00B43B5E">
        <w:rPr>
          <w:sz w:val="28"/>
          <w:szCs w:val="28"/>
        </w:rPr>
        <w:lastRenderedPageBreak/>
        <w:t xml:space="preserve">процента и составил 54,2 тыс.куб.метров (факт 2014 г. – 45 тыс.куб.метров). </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По данным Сахалинстата:</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xml:space="preserve">-  объем </w:t>
      </w:r>
      <w:r w:rsidRPr="00B43B5E">
        <w:rPr>
          <w:rFonts w:ascii="Times New Roman" w:hAnsi="Times New Roman" w:cs="Times New Roman"/>
          <w:i/>
          <w:sz w:val="28"/>
          <w:szCs w:val="28"/>
        </w:rPr>
        <w:t>заготовки древесины</w:t>
      </w:r>
      <w:r w:rsidRPr="00B43B5E">
        <w:rPr>
          <w:rFonts w:ascii="Times New Roman" w:hAnsi="Times New Roman" w:cs="Times New Roman"/>
          <w:sz w:val="28"/>
          <w:szCs w:val="28"/>
        </w:rPr>
        <w:t xml:space="preserve">  по лесопромышленным компаниям муниципального образования составил 3,07 тыс.куб. метров с незначительным ростом к 2014 голу на 105,5 процента.</w:t>
      </w:r>
    </w:p>
    <w:p w:rsidR="00B43B5E"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b/>
          <w:i/>
          <w:sz w:val="28"/>
          <w:szCs w:val="28"/>
        </w:rPr>
        <w:t xml:space="preserve">- </w:t>
      </w:r>
      <w:r w:rsidRPr="00B43B5E">
        <w:rPr>
          <w:rFonts w:ascii="Times New Roman" w:hAnsi="Times New Roman" w:cs="Times New Roman"/>
          <w:sz w:val="28"/>
          <w:szCs w:val="28"/>
        </w:rPr>
        <w:t>объемы</w:t>
      </w:r>
      <w:r w:rsidRPr="00B43B5E">
        <w:rPr>
          <w:rFonts w:ascii="Times New Roman" w:hAnsi="Times New Roman" w:cs="Times New Roman"/>
          <w:b/>
          <w:i/>
          <w:sz w:val="28"/>
          <w:szCs w:val="28"/>
        </w:rPr>
        <w:t xml:space="preserve"> </w:t>
      </w:r>
      <w:r w:rsidRPr="00B43B5E">
        <w:rPr>
          <w:rFonts w:ascii="Times New Roman" w:hAnsi="Times New Roman" w:cs="Times New Roman"/>
          <w:i/>
          <w:sz w:val="28"/>
          <w:szCs w:val="28"/>
        </w:rPr>
        <w:t>производства лесоматериалов</w:t>
      </w:r>
      <w:r w:rsidRPr="00B43B5E">
        <w:rPr>
          <w:rFonts w:ascii="Times New Roman" w:hAnsi="Times New Roman" w:cs="Times New Roman"/>
          <w:sz w:val="28"/>
          <w:szCs w:val="28"/>
        </w:rPr>
        <w:t xml:space="preserve">  составили  1,35 тыс.куб.метров,  с ростом к уровню 2014 года на 13,3 процента. </w:t>
      </w:r>
    </w:p>
    <w:p w:rsidR="00063E7C" w:rsidRDefault="00063E7C" w:rsidP="00063E7C">
      <w:pPr>
        <w:ind w:firstLine="708"/>
        <w:jc w:val="both"/>
        <w:rPr>
          <w:sz w:val="28"/>
          <w:szCs w:val="28"/>
        </w:rPr>
      </w:pPr>
      <w:r>
        <w:rPr>
          <w:noProof/>
          <w:sz w:val="28"/>
          <w:szCs w:val="28"/>
          <w:lang w:eastAsia="ru-RU"/>
        </w:rPr>
        <w:drawing>
          <wp:inline distT="0" distB="0" distL="0" distR="0">
            <wp:extent cx="5334000" cy="3898900"/>
            <wp:effectExtent l="0" t="0" r="0" b="0"/>
            <wp:docPr id="14" name="Объект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63E7C" w:rsidRPr="00B43B5E" w:rsidRDefault="00B43B5E" w:rsidP="00B43B5E">
      <w:pPr>
        <w:ind w:firstLine="708"/>
        <w:jc w:val="center"/>
        <w:rPr>
          <w:rFonts w:ascii="Times New Roman" w:hAnsi="Times New Roman" w:cs="Times New Roman"/>
          <w:i/>
          <w:sz w:val="24"/>
          <w:szCs w:val="24"/>
        </w:rPr>
      </w:pPr>
      <w:r w:rsidRPr="00B43B5E">
        <w:rPr>
          <w:rFonts w:ascii="Times New Roman" w:hAnsi="Times New Roman" w:cs="Times New Roman"/>
          <w:i/>
          <w:sz w:val="24"/>
          <w:szCs w:val="24"/>
        </w:rPr>
        <w:t>Рисунок 10</w:t>
      </w:r>
    </w:p>
    <w:p w:rsidR="004E132D" w:rsidRDefault="004E132D" w:rsidP="00B43B5E">
      <w:pPr>
        <w:spacing w:after="0"/>
        <w:ind w:firstLine="540"/>
        <w:jc w:val="both"/>
        <w:rPr>
          <w:rFonts w:ascii="Times New Roman" w:hAnsi="Times New Roman" w:cs="Times New Roman"/>
          <w:b/>
          <w:sz w:val="28"/>
          <w:szCs w:val="28"/>
        </w:rPr>
      </w:pPr>
      <w:r>
        <w:rPr>
          <w:rFonts w:ascii="Times New Roman" w:hAnsi="Times New Roman" w:cs="Times New Roman"/>
          <w:b/>
          <w:sz w:val="28"/>
          <w:szCs w:val="28"/>
        </w:rPr>
        <w:t>Пищевая и перерабатывающая промышленность</w:t>
      </w:r>
    </w:p>
    <w:p w:rsidR="004E132D" w:rsidRPr="004E132D" w:rsidRDefault="004E132D" w:rsidP="004E132D">
      <w:pPr>
        <w:tabs>
          <w:tab w:val="left" w:pos="933"/>
        </w:tabs>
        <w:spacing w:after="0" w:line="240" w:lineRule="auto"/>
        <w:jc w:val="both"/>
        <w:rPr>
          <w:rFonts w:ascii="Times New Roman" w:hAnsi="Times New Roman"/>
          <w:sz w:val="28"/>
          <w:szCs w:val="28"/>
        </w:rPr>
      </w:pPr>
      <w:r w:rsidRPr="004E132D">
        <w:rPr>
          <w:rFonts w:ascii="Times New Roman" w:hAnsi="Times New Roman"/>
          <w:sz w:val="28"/>
          <w:szCs w:val="28"/>
        </w:rPr>
        <w:tab/>
        <w:t>На территории муниципального образования действует 5 цехов малой мощности по производству хлебобулочных изделий. Предприятия планомерно изучают спрос населения и расширяют ассортиментный перечень производимых продуктов питания; производят более 50 наименований хлебобулочных изделий и 80 наименований кондитерских изделий.</w:t>
      </w:r>
    </w:p>
    <w:p w:rsidR="004E132D" w:rsidRPr="004E132D" w:rsidRDefault="004E132D" w:rsidP="004E132D">
      <w:pPr>
        <w:tabs>
          <w:tab w:val="left" w:pos="933"/>
        </w:tabs>
        <w:spacing w:after="0" w:line="240" w:lineRule="auto"/>
        <w:jc w:val="both"/>
        <w:rPr>
          <w:rFonts w:ascii="Times New Roman" w:hAnsi="Times New Roman"/>
          <w:sz w:val="28"/>
          <w:szCs w:val="28"/>
        </w:rPr>
      </w:pPr>
      <w:r w:rsidRPr="004E132D">
        <w:rPr>
          <w:rFonts w:ascii="Times New Roman" w:hAnsi="Times New Roman"/>
          <w:sz w:val="28"/>
          <w:szCs w:val="28"/>
        </w:rPr>
        <w:t xml:space="preserve">       Количество занятых на производстве составляет 29 человек со среднемесячной заработной платой на одного работающего 23400 рублей.</w:t>
      </w:r>
    </w:p>
    <w:p w:rsidR="004E132D" w:rsidRPr="004E132D" w:rsidRDefault="004E132D" w:rsidP="004E132D">
      <w:pPr>
        <w:tabs>
          <w:tab w:val="left" w:pos="933"/>
        </w:tabs>
        <w:spacing w:after="0" w:line="240" w:lineRule="auto"/>
        <w:jc w:val="both"/>
        <w:rPr>
          <w:rFonts w:ascii="Times New Roman" w:hAnsi="Times New Roman"/>
          <w:sz w:val="28"/>
          <w:szCs w:val="28"/>
        </w:rPr>
      </w:pPr>
      <w:r w:rsidRPr="004E132D">
        <w:rPr>
          <w:rFonts w:ascii="Times New Roman" w:hAnsi="Times New Roman"/>
          <w:sz w:val="28"/>
          <w:szCs w:val="28"/>
        </w:rPr>
        <w:t xml:space="preserve">       За 2015 год (с учетом предприятий, не учтенных при формировании статистических данных) произведено 711 тн хлебобулочных изделий и 33 тн кондитерских изделий. Что ниже показателей 2014 года на 16% и кондитерских изделий в 3 раза. Снижение объемов производства объясняется увеличением в течение 2015 года стоимости минимального набора продуктов </w:t>
      </w:r>
      <w:r w:rsidRPr="004E132D">
        <w:rPr>
          <w:rFonts w:ascii="Times New Roman" w:hAnsi="Times New Roman"/>
          <w:sz w:val="28"/>
          <w:szCs w:val="28"/>
        </w:rPr>
        <w:lastRenderedPageBreak/>
        <w:t xml:space="preserve">питания по оценке статэкспертов на 5,4% и снижением экономического спроса населения.     </w:t>
      </w:r>
    </w:p>
    <w:p w:rsidR="004E132D" w:rsidRPr="004E132D" w:rsidRDefault="004E132D" w:rsidP="004E132D">
      <w:pPr>
        <w:widowControl w:val="0"/>
        <w:autoSpaceDE w:val="0"/>
        <w:autoSpaceDN w:val="0"/>
        <w:adjustRightInd w:val="0"/>
        <w:spacing w:after="0"/>
        <w:ind w:firstLine="540"/>
        <w:jc w:val="both"/>
        <w:rPr>
          <w:rFonts w:ascii="Times New Roman" w:hAnsi="Times New Roman"/>
          <w:sz w:val="28"/>
          <w:szCs w:val="28"/>
        </w:rPr>
      </w:pPr>
      <w:r w:rsidRPr="004E132D">
        <w:rPr>
          <w:rFonts w:ascii="Times New Roman" w:hAnsi="Times New Roman"/>
          <w:sz w:val="28"/>
          <w:szCs w:val="28"/>
        </w:rPr>
        <w:t xml:space="preserve">  Объем частных инвестиций привлеченные в мероприятия по строительству и реконструкции объектов хлебопекарного производства (ввод нового хлебопекарного цеха ООО «Олимпик») за 2015 год составил 3,5 млн.руб.</w:t>
      </w:r>
      <w:r w:rsidRPr="004E132D">
        <w:rPr>
          <w:sz w:val="28"/>
          <w:szCs w:val="28"/>
        </w:rPr>
        <w:t xml:space="preserve"> </w:t>
      </w:r>
    </w:p>
    <w:p w:rsidR="004E132D" w:rsidRPr="004E132D" w:rsidRDefault="004E132D" w:rsidP="00B43B5E">
      <w:pPr>
        <w:spacing w:after="0"/>
        <w:ind w:firstLine="540"/>
        <w:jc w:val="both"/>
        <w:rPr>
          <w:rFonts w:ascii="Times New Roman" w:hAnsi="Times New Roman" w:cs="Times New Roman"/>
          <w:sz w:val="28"/>
          <w:szCs w:val="28"/>
        </w:rPr>
      </w:pPr>
    </w:p>
    <w:p w:rsidR="00063E7C" w:rsidRPr="00B43B5E" w:rsidRDefault="00063E7C" w:rsidP="00B43B5E">
      <w:pPr>
        <w:spacing w:after="0"/>
        <w:ind w:firstLine="540"/>
        <w:jc w:val="both"/>
        <w:rPr>
          <w:rFonts w:ascii="Times New Roman" w:hAnsi="Times New Roman" w:cs="Times New Roman"/>
          <w:sz w:val="28"/>
          <w:szCs w:val="28"/>
        </w:rPr>
      </w:pPr>
      <w:r w:rsidRPr="00B43B5E">
        <w:rPr>
          <w:rFonts w:ascii="Times New Roman" w:hAnsi="Times New Roman" w:cs="Times New Roman"/>
          <w:b/>
          <w:sz w:val="28"/>
          <w:szCs w:val="28"/>
        </w:rPr>
        <w:t xml:space="preserve">В сфере сельского  хозяйства </w:t>
      </w:r>
      <w:r w:rsidRPr="00B43B5E">
        <w:rPr>
          <w:rFonts w:ascii="Times New Roman" w:hAnsi="Times New Roman" w:cs="Times New Roman"/>
          <w:sz w:val="28"/>
          <w:szCs w:val="28"/>
        </w:rPr>
        <w:t>в  муниципальном образовании в  2015  году  осуществляли деятельность 5 крестьянских (фермерских)  хозяйств (в 2014 году – 4 КФХ) и более  700  личных подсобных  хозяйств   граждан.</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Развитие отрасли было напрямую связано с реализацией мероприятий муниципальной подпрограммой  «Развитие  сельского  хозяйства  и  регулирование  рынков  сельскохозяйственной  продукции,  сырья  и  продовольствия  муниципального  образования  «Городской  округ  Ногликский»  на  2015-2020  годы».</w:t>
      </w:r>
    </w:p>
    <w:p w:rsidR="00063E7C" w:rsidRPr="00B43B5E" w:rsidRDefault="00063E7C" w:rsidP="00B43B5E">
      <w:pPr>
        <w:spacing w:after="0"/>
        <w:jc w:val="both"/>
        <w:rPr>
          <w:rFonts w:ascii="Times New Roman" w:hAnsi="Times New Roman" w:cs="Times New Roman"/>
          <w:sz w:val="28"/>
          <w:szCs w:val="28"/>
        </w:rPr>
      </w:pPr>
      <w:r w:rsidRPr="00B43B5E">
        <w:rPr>
          <w:rFonts w:ascii="Times New Roman" w:hAnsi="Times New Roman" w:cs="Times New Roman"/>
          <w:sz w:val="28"/>
          <w:szCs w:val="28"/>
        </w:rPr>
        <w:t xml:space="preserve">  </w:t>
      </w:r>
      <w:r w:rsidRPr="00B43B5E">
        <w:rPr>
          <w:rFonts w:ascii="Times New Roman" w:hAnsi="Times New Roman" w:cs="Times New Roman"/>
          <w:sz w:val="28"/>
          <w:szCs w:val="28"/>
        </w:rPr>
        <w:tab/>
        <w:t xml:space="preserve">В отрасли </w:t>
      </w:r>
      <w:r w:rsidRPr="00B43B5E">
        <w:rPr>
          <w:rFonts w:ascii="Times New Roman" w:hAnsi="Times New Roman" w:cs="Times New Roman"/>
          <w:i/>
          <w:sz w:val="28"/>
          <w:szCs w:val="28"/>
        </w:rPr>
        <w:t>«растениеводство»</w:t>
      </w:r>
      <w:r w:rsidRPr="00B43B5E">
        <w:rPr>
          <w:rFonts w:ascii="Times New Roman" w:hAnsi="Times New Roman" w:cs="Times New Roman"/>
          <w:sz w:val="28"/>
          <w:szCs w:val="28"/>
        </w:rPr>
        <w:t xml:space="preserve"> одними из направлений реализации подпрограммы в 2015 году были</w:t>
      </w:r>
      <w:r w:rsidRPr="00B43B5E">
        <w:rPr>
          <w:rFonts w:ascii="Times New Roman" w:hAnsi="Times New Roman" w:cs="Times New Roman"/>
          <w:color w:val="FF0000"/>
          <w:sz w:val="28"/>
          <w:szCs w:val="28"/>
        </w:rPr>
        <w:t xml:space="preserve"> </w:t>
      </w:r>
      <w:r w:rsidRPr="00B43B5E">
        <w:rPr>
          <w:rFonts w:ascii="Times New Roman" w:hAnsi="Times New Roman" w:cs="Times New Roman"/>
          <w:sz w:val="28"/>
          <w:szCs w:val="28"/>
        </w:rPr>
        <w:t xml:space="preserve">вовлечение  неиспользуемых  сельскохозяйственных  земель  в  сельскохозяйственный оборот  и   обновление парка сельскохозяйственной техники сельхозпроизводителей. </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xml:space="preserve">В результате  реализации мероприятий была  выполнена работа по   межеванию и постановке на кадастровый учет земель сельскохозяйственного назначения   площадью  </w:t>
      </w:r>
      <w:smartTag w:uri="urn:schemas-microsoft-com:office:smarttags" w:element="metricconverter">
        <w:smartTagPr>
          <w:attr w:name="ProductID" w:val="700 га"/>
        </w:smartTagPr>
        <w:r w:rsidRPr="00B43B5E">
          <w:rPr>
            <w:rFonts w:ascii="Times New Roman" w:hAnsi="Times New Roman" w:cs="Times New Roman"/>
            <w:sz w:val="28"/>
            <w:szCs w:val="28"/>
          </w:rPr>
          <w:t>700 га</w:t>
        </w:r>
      </w:smartTag>
      <w:r w:rsidRPr="00B43B5E">
        <w:rPr>
          <w:rFonts w:ascii="Times New Roman" w:hAnsi="Times New Roman" w:cs="Times New Roman"/>
          <w:sz w:val="28"/>
          <w:szCs w:val="28"/>
        </w:rPr>
        <w:t xml:space="preserve">  для  последующего  оформления  права  муниципальной  собственности  на  них. Также с участием средств областного и федерального   бюджетов стало возможным обновление парка    сельскохозяйственной техники в крестьянском (фермерском) хозяйстве Ефанова И.И. – приобретены 2 единицы спецтехники,  а  именно:</w:t>
      </w:r>
      <w:r w:rsidRPr="00B43B5E">
        <w:rPr>
          <w:rFonts w:ascii="Times New Roman" w:hAnsi="Times New Roman" w:cs="Times New Roman"/>
          <w:i/>
          <w:sz w:val="28"/>
          <w:szCs w:val="28"/>
        </w:rPr>
        <w:t xml:space="preserve"> </w:t>
      </w:r>
      <w:r w:rsidRPr="00B43B5E">
        <w:rPr>
          <w:rFonts w:ascii="Times New Roman" w:hAnsi="Times New Roman" w:cs="Times New Roman"/>
          <w:sz w:val="28"/>
          <w:szCs w:val="28"/>
        </w:rPr>
        <w:t>сортировщик овощей М 616 и  автомобиль УАЗ (фермер).</w:t>
      </w:r>
    </w:p>
    <w:p w:rsidR="00063E7C" w:rsidRPr="00B43B5E" w:rsidRDefault="00063E7C" w:rsidP="00B43B5E">
      <w:pPr>
        <w:spacing w:after="0"/>
        <w:jc w:val="both"/>
        <w:rPr>
          <w:rFonts w:ascii="Times New Roman" w:hAnsi="Times New Roman" w:cs="Times New Roman"/>
          <w:sz w:val="28"/>
          <w:szCs w:val="28"/>
        </w:rPr>
      </w:pPr>
      <w:r w:rsidRPr="00B43B5E">
        <w:rPr>
          <w:rFonts w:ascii="Times New Roman" w:hAnsi="Times New Roman" w:cs="Times New Roman"/>
          <w:i/>
          <w:sz w:val="28"/>
          <w:szCs w:val="28"/>
        </w:rPr>
        <w:t xml:space="preserve"> </w:t>
      </w:r>
      <w:r w:rsidRPr="00B43B5E">
        <w:rPr>
          <w:rFonts w:ascii="Times New Roman" w:hAnsi="Times New Roman" w:cs="Times New Roman"/>
          <w:sz w:val="28"/>
          <w:szCs w:val="28"/>
        </w:rPr>
        <w:tab/>
        <w:t xml:space="preserve">В отрасли  </w:t>
      </w:r>
      <w:r w:rsidRPr="00B43B5E">
        <w:rPr>
          <w:rFonts w:ascii="Times New Roman" w:hAnsi="Times New Roman" w:cs="Times New Roman"/>
          <w:i/>
          <w:sz w:val="28"/>
          <w:szCs w:val="28"/>
        </w:rPr>
        <w:t>«животноводства»</w:t>
      </w:r>
      <w:r w:rsidRPr="00B43B5E">
        <w:rPr>
          <w:rFonts w:ascii="Times New Roman" w:hAnsi="Times New Roman" w:cs="Times New Roman"/>
          <w:b/>
          <w:sz w:val="28"/>
          <w:szCs w:val="28"/>
        </w:rPr>
        <w:t xml:space="preserve"> </w:t>
      </w:r>
      <w:r w:rsidRPr="00B43B5E">
        <w:rPr>
          <w:rFonts w:ascii="Times New Roman" w:hAnsi="Times New Roman" w:cs="Times New Roman"/>
          <w:sz w:val="28"/>
          <w:szCs w:val="28"/>
        </w:rPr>
        <w:t xml:space="preserve">в  целях наращивания  производства продукции  животноводства в  личных  подсобных  хозяйствах  реализованы мероприятия, </w:t>
      </w:r>
      <w:r w:rsidR="00B43B5E" w:rsidRPr="00B43B5E">
        <w:rPr>
          <w:rFonts w:ascii="Times New Roman" w:hAnsi="Times New Roman" w:cs="Times New Roman"/>
          <w:sz w:val="28"/>
          <w:szCs w:val="28"/>
        </w:rPr>
        <w:t>направленные</w:t>
      </w:r>
      <w:r w:rsidR="00B43B5E">
        <w:rPr>
          <w:rFonts w:ascii="Times New Roman" w:hAnsi="Times New Roman" w:cs="Times New Roman"/>
          <w:sz w:val="28"/>
          <w:szCs w:val="28"/>
        </w:rPr>
        <w:t xml:space="preserve">  на</w:t>
      </w:r>
      <w:r w:rsidRPr="00B43B5E">
        <w:rPr>
          <w:rFonts w:ascii="Times New Roman" w:hAnsi="Times New Roman" w:cs="Times New Roman"/>
          <w:sz w:val="28"/>
          <w:szCs w:val="28"/>
        </w:rPr>
        <w:t xml:space="preserve"> сдерживание тенденции  сокращения  поголовья  скота и птицы  в  хозяйствах  населения. В частности:</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организована поставка дотационных комбикормов и  фуражного зерна для личных подсобных хозяйств населения. Объем поставки составил 231 тонну по цене, сниженной за счет возмещения затрат,  связанных  с транспортировкой кормов, за счет средств областного и местного бюджетов в размере 1,6 млн.рублей и 15,9 тыс. рублей соответственно;</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xml:space="preserve">- организован  сбор   и  передача  в  Министерство  сельского  хозяйства, торговли и продовольствия   Сахалинской области документов  на  получение  субсидии  на  содержание сельскохозяйственных животных  для   </w:t>
      </w:r>
      <w:r w:rsidRPr="00B43B5E">
        <w:rPr>
          <w:rFonts w:ascii="Times New Roman" w:hAnsi="Times New Roman" w:cs="Times New Roman"/>
          <w:sz w:val="28"/>
          <w:szCs w:val="28"/>
        </w:rPr>
        <w:lastRenderedPageBreak/>
        <w:t>38-и   ЛПХ  населения, размер субсидии полученной хозяевами подворий составил 688,3 тыс. рублей;</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оказаны  консультативные услуги     гражданам,  желающими  заниматься  животноводством,  по  вопросам содержания скота  и  птицы;</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xml:space="preserve">- оказано содействие в  получении  кредитных  ресурсов  для развития животноводства  хозяину личного подворья, которому в  конечном итоге Сбербанком России был предоставлен кредит в размере 300 тысяч  рублей для  реконструкции  животноводческого  помещения;  </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 оказана  помощь  на  получение  поддержки  в виде кредитования  малых  форм  хозяйствования  из  областного  и  федерального  бюджетов  владельцам  двух  ЛПХ в размере 61,8 тыс. рублей.</w:t>
      </w:r>
    </w:p>
    <w:p w:rsidR="00063E7C" w:rsidRPr="00B43B5E" w:rsidRDefault="00063E7C" w:rsidP="00B43B5E">
      <w:pPr>
        <w:spacing w:after="0"/>
        <w:ind w:firstLine="708"/>
        <w:jc w:val="both"/>
        <w:rPr>
          <w:rFonts w:ascii="Times New Roman" w:hAnsi="Times New Roman" w:cs="Times New Roman"/>
          <w:sz w:val="28"/>
          <w:szCs w:val="28"/>
        </w:rPr>
      </w:pPr>
      <w:r w:rsidRPr="00B43B5E">
        <w:rPr>
          <w:rFonts w:ascii="Times New Roman" w:hAnsi="Times New Roman" w:cs="Times New Roman"/>
          <w:sz w:val="28"/>
          <w:szCs w:val="28"/>
        </w:rPr>
        <w:t>На  1 января  2016 года поголовье крупного рогатого скота  и птицы в  хозяйствах всех категорий  снизилось, при этом отмечен  рост поголовья коров и свиней.</w:t>
      </w:r>
    </w:p>
    <w:p w:rsidR="00063E7C" w:rsidRPr="00B43B5E" w:rsidRDefault="00063E7C" w:rsidP="00B43B5E">
      <w:pPr>
        <w:spacing w:after="0"/>
        <w:ind w:firstLine="708"/>
        <w:jc w:val="both"/>
        <w:rPr>
          <w:rFonts w:ascii="Times New Roman" w:hAnsi="Times New Roman" w:cs="Times New Roman"/>
          <w:b/>
          <w:sz w:val="28"/>
          <w:szCs w:val="28"/>
        </w:rPr>
      </w:pPr>
      <w:r w:rsidRPr="00B43B5E">
        <w:rPr>
          <w:rFonts w:ascii="Times New Roman" w:hAnsi="Times New Roman" w:cs="Times New Roman"/>
          <w:sz w:val="28"/>
          <w:szCs w:val="28"/>
        </w:rPr>
        <w:t xml:space="preserve"> Всеми категориями хозяйств   за 2015 год  произведено  69,7 тонны  молока, 45,4 тонна  мяса, 724  тысячи  яиц. </w:t>
      </w:r>
    </w:p>
    <w:p w:rsidR="00063E7C" w:rsidRPr="00B43B5E" w:rsidRDefault="00063E7C" w:rsidP="00B43B5E">
      <w:pPr>
        <w:spacing w:after="0"/>
        <w:jc w:val="both"/>
        <w:rPr>
          <w:rFonts w:ascii="Times New Roman" w:hAnsi="Times New Roman" w:cs="Times New Roman"/>
          <w:i/>
          <w:sz w:val="28"/>
          <w:szCs w:val="28"/>
        </w:rPr>
      </w:pPr>
      <w:r w:rsidRPr="00B43B5E">
        <w:rPr>
          <w:rFonts w:ascii="Times New Roman" w:hAnsi="Times New Roman" w:cs="Times New Roman"/>
          <w:i/>
          <w:sz w:val="28"/>
          <w:szCs w:val="28"/>
        </w:rPr>
        <w:tab/>
        <w:t>Информационно-консультативное  обслуживание ЛПХ населения  и К(Ф) Х</w:t>
      </w:r>
    </w:p>
    <w:p w:rsidR="00063E7C" w:rsidRPr="00B43B5E" w:rsidRDefault="00063E7C" w:rsidP="00B43B5E">
      <w:pPr>
        <w:tabs>
          <w:tab w:val="left" w:pos="3650"/>
          <w:tab w:val="center" w:pos="4677"/>
          <w:tab w:val="left" w:pos="6730"/>
        </w:tabs>
        <w:spacing w:after="0"/>
        <w:jc w:val="both"/>
        <w:rPr>
          <w:rFonts w:ascii="Times New Roman" w:hAnsi="Times New Roman" w:cs="Times New Roman"/>
          <w:sz w:val="28"/>
          <w:szCs w:val="28"/>
        </w:rPr>
      </w:pPr>
      <w:r w:rsidRPr="00B43B5E">
        <w:rPr>
          <w:rFonts w:ascii="Times New Roman" w:hAnsi="Times New Roman" w:cs="Times New Roman"/>
          <w:sz w:val="28"/>
          <w:szCs w:val="28"/>
        </w:rPr>
        <w:t xml:space="preserve">          В  целях  пропаганды  сельскохозяйственного  производства в личных подсобных хозяйствах, демонстрации возможностей  местных  сельскохозяйственных производителей    и  вовлечения населения в занятость сельским хозяйством    выполнены  следующие  мероприятия:</w:t>
      </w:r>
    </w:p>
    <w:p w:rsidR="00063E7C" w:rsidRPr="00B43B5E" w:rsidRDefault="00063E7C" w:rsidP="00B43B5E">
      <w:pPr>
        <w:tabs>
          <w:tab w:val="left" w:pos="3650"/>
          <w:tab w:val="center" w:pos="4677"/>
          <w:tab w:val="left" w:pos="4920"/>
          <w:tab w:val="left" w:pos="6730"/>
        </w:tabs>
        <w:spacing w:after="0"/>
        <w:jc w:val="both"/>
        <w:rPr>
          <w:rFonts w:ascii="Times New Roman" w:hAnsi="Times New Roman" w:cs="Times New Roman"/>
          <w:sz w:val="28"/>
          <w:szCs w:val="28"/>
        </w:rPr>
      </w:pPr>
      <w:r w:rsidRPr="00B43B5E">
        <w:rPr>
          <w:rFonts w:ascii="Times New Roman" w:hAnsi="Times New Roman" w:cs="Times New Roman"/>
          <w:sz w:val="28"/>
          <w:szCs w:val="28"/>
        </w:rPr>
        <w:t xml:space="preserve">         - продолжила работу  школы  огородников  и  граждан,</w:t>
      </w:r>
      <w:r w:rsidRPr="00B43B5E">
        <w:rPr>
          <w:rFonts w:ascii="Times New Roman" w:hAnsi="Times New Roman" w:cs="Times New Roman"/>
          <w:sz w:val="28"/>
          <w:szCs w:val="28"/>
        </w:rPr>
        <w:tab/>
        <w:t>ведущих  личные  подсобные  хозяйства  (затраты на реализацию мероприятий - 17,8 тыс. руб. из местного бюджета);</w:t>
      </w:r>
    </w:p>
    <w:p w:rsidR="00063E7C" w:rsidRPr="00B43B5E" w:rsidRDefault="00063E7C" w:rsidP="00B43B5E">
      <w:pPr>
        <w:tabs>
          <w:tab w:val="left" w:pos="3650"/>
          <w:tab w:val="center" w:pos="4677"/>
          <w:tab w:val="left" w:pos="4920"/>
          <w:tab w:val="left" w:pos="6730"/>
        </w:tabs>
        <w:spacing w:after="0"/>
        <w:jc w:val="both"/>
        <w:rPr>
          <w:rFonts w:ascii="Times New Roman" w:hAnsi="Times New Roman" w:cs="Times New Roman"/>
          <w:sz w:val="28"/>
          <w:szCs w:val="28"/>
        </w:rPr>
      </w:pPr>
      <w:r w:rsidRPr="00B43B5E">
        <w:rPr>
          <w:rFonts w:ascii="Times New Roman" w:hAnsi="Times New Roman" w:cs="Times New Roman"/>
          <w:sz w:val="28"/>
          <w:szCs w:val="28"/>
        </w:rPr>
        <w:t xml:space="preserve">        - проведен  конкурс  на  лучшее  личное подсобное  хозяйство  (затраты  - 380,0 тыс. руб. из  местного бюджета).</w:t>
      </w:r>
    </w:p>
    <w:p w:rsidR="00B43B5E" w:rsidRDefault="00B43B5E"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4E132D" w:rsidRDefault="004E132D" w:rsidP="00B43B5E">
      <w:pPr>
        <w:spacing w:after="0"/>
        <w:ind w:firstLine="709"/>
        <w:jc w:val="center"/>
        <w:rPr>
          <w:rFonts w:ascii="Times New Roman" w:hAnsi="Times New Roman" w:cs="Times New Roman"/>
          <w:b/>
          <w:sz w:val="26"/>
          <w:szCs w:val="26"/>
        </w:rPr>
      </w:pPr>
    </w:p>
    <w:p w:rsidR="00063E7C" w:rsidRPr="00B43B5E" w:rsidRDefault="00063E7C" w:rsidP="00B43B5E">
      <w:pPr>
        <w:spacing w:after="0"/>
        <w:ind w:firstLine="709"/>
        <w:jc w:val="center"/>
        <w:rPr>
          <w:rFonts w:ascii="Times New Roman" w:hAnsi="Times New Roman" w:cs="Times New Roman"/>
          <w:b/>
          <w:sz w:val="26"/>
          <w:szCs w:val="26"/>
        </w:rPr>
      </w:pPr>
      <w:r w:rsidRPr="00B43B5E">
        <w:rPr>
          <w:rFonts w:ascii="Times New Roman" w:hAnsi="Times New Roman" w:cs="Times New Roman"/>
          <w:b/>
          <w:sz w:val="26"/>
          <w:szCs w:val="26"/>
        </w:rPr>
        <w:lastRenderedPageBreak/>
        <w:t xml:space="preserve">Производство </w:t>
      </w:r>
    </w:p>
    <w:p w:rsidR="00063E7C" w:rsidRPr="00B43B5E" w:rsidRDefault="00063E7C" w:rsidP="00B43B5E">
      <w:pPr>
        <w:spacing w:after="0"/>
        <w:ind w:firstLine="709"/>
        <w:jc w:val="center"/>
        <w:rPr>
          <w:rFonts w:ascii="Times New Roman" w:hAnsi="Times New Roman" w:cs="Times New Roman"/>
          <w:b/>
          <w:sz w:val="26"/>
          <w:szCs w:val="26"/>
        </w:rPr>
      </w:pPr>
      <w:r w:rsidRPr="00B43B5E">
        <w:rPr>
          <w:rFonts w:ascii="Times New Roman" w:hAnsi="Times New Roman" w:cs="Times New Roman"/>
          <w:b/>
          <w:sz w:val="26"/>
          <w:szCs w:val="26"/>
        </w:rPr>
        <w:t>основных видов сельскохозяйственной продукции</w:t>
      </w:r>
    </w:p>
    <w:p w:rsidR="00063E7C" w:rsidRPr="00B43B5E" w:rsidRDefault="00063E7C" w:rsidP="00B43B5E">
      <w:pPr>
        <w:spacing w:after="0"/>
        <w:ind w:firstLine="709"/>
        <w:jc w:val="center"/>
        <w:rPr>
          <w:rFonts w:ascii="Times New Roman" w:hAnsi="Times New Roman" w:cs="Times New Roman"/>
          <w:b/>
          <w:bCs/>
          <w:i/>
          <w:color w:val="0000FF"/>
          <w:sz w:val="26"/>
          <w:szCs w:val="26"/>
        </w:rPr>
      </w:pPr>
      <w:r w:rsidRPr="00B43B5E">
        <w:rPr>
          <w:rFonts w:ascii="Times New Roman" w:hAnsi="Times New Roman" w:cs="Times New Roman"/>
          <w:b/>
          <w:sz w:val="26"/>
          <w:szCs w:val="26"/>
        </w:rPr>
        <w:t xml:space="preserve">за период 2008 – 2015 годы </w:t>
      </w:r>
      <w:r w:rsidRPr="00B43B5E">
        <w:rPr>
          <w:rFonts w:ascii="Times New Roman" w:hAnsi="Times New Roman" w:cs="Times New Roman"/>
          <w:b/>
          <w:i/>
          <w:sz w:val="26"/>
          <w:szCs w:val="26"/>
        </w:rPr>
        <w:t>(по оценке)</w:t>
      </w:r>
    </w:p>
    <w:p w:rsidR="00063E7C" w:rsidRPr="00574FB1" w:rsidRDefault="00063E7C" w:rsidP="00063E7C">
      <w:pPr>
        <w:ind w:firstLine="708"/>
        <w:jc w:val="both"/>
        <w:rPr>
          <w:b/>
          <w:color w:val="0000FF"/>
          <w:sz w:val="28"/>
          <w:szCs w:val="28"/>
        </w:rPr>
      </w:pPr>
    </w:p>
    <w:p w:rsidR="00063E7C" w:rsidRPr="00A450AB" w:rsidRDefault="00063E7C" w:rsidP="00063E7C">
      <w:pPr>
        <w:jc w:val="both"/>
        <w:rPr>
          <w:b/>
          <w:color w:val="FF0000"/>
          <w:sz w:val="28"/>
          <w:szCs w:val="28"/>
        </w:rPr>
      </w:pPr>
      <w:r>
        <w:rPr>
          <w:noProof/>
          <w:sz w:val="26"/>
          <w:szCs w:val="26"/>
          <w:lang w:eastAsia="ru-RU"/>
        </w:rPr>
        <w:drawing>
          <wp:inline distT="0" distB="0" distL="0" distR="0">
            <wp:extent cx="5740400" cy="3843655"/>
            <wp:effectExtent l="0" t="0" r="0" b="0"/>
            <wp:docPr id="15" name="Объект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063E7C" w:rsidRPr="004E132D" w:rsidRDefault="004E132D" w:rsidP="004E132D">
      <w:pPr>
        <w:ind w:firstLine="708"/>
        <w:jc w:val="center"/>
        <w:rPr>
          <w:rFonts w:ascii="Times New Roman" w:hAnsi="Times New Roman" w:cs="Times New Roman"/>
          <w:i/>
          <w:sz w:val="24"/>
          <w:szCs w:val="24"/>
        </w:rPr>
      </w:pPr>
      <w:r w:rsidRPr="004E132D">
        <w:rPr>
          <w:rFonts w:ascii="Times New Roman" w:hAnsi="Times New Roman" w:cs="Times New Roman"/>
          <w:i/>
          <w:sz w:val="24"/>
          <w:szCs w:val="24"/>
        </w:rPr>
        <w:t>Рисунок 11</w:t>
      </w:r>
    </w:p>
    <w:p w:rsidR="00D04828" w:rsidRDefault="00D04828" w:rsidP="00063E7C">
      <w:pPr>
        <w:spacing w:after="0"/>
        <w:jc w:val="both"/>
        <w:rPr>
          <w:rFonts w:ascii="Times New Roman" w:hAnsi="Times New Roman" w:cs="Times New Roman"/>
          <w:b/>
          <w:sz w:val="28"/>
          <w:szCs w:val="28"/>
        </w:rPr>
      </w:pPr>
    </w:p>
    <w:p w:rsidR="00146562" w:rsidRDefault="00146562" w:rsidP="00063E7C">
      <w:pPr>
        <w:spacing w:after="0"/>
        <w:jc w:val="both"/>
        <w:rPr>
          <w:rFonts w:ascii="Times New Roman" w:hAnsi="Times New Roman" w:cs="Times New Roman"/>
          <w:b/>
          <w:sz w:val="28"/>
          <w:szCs w:val="28"/>
        </w:rPr>
      </w:pPr>
    </w:p>
    <w:p w:rsidR="00063E7C" w:rsidRDefault="004E132D" w:rsidP="00063E7C">
      <w:pPr>
        <w:spacing w:after="0"/>
        <w:jc w:val="both"/>
        <w:rPr>
          <w:rFonts w:ascii="Times New Roman" w:hAnsi="Times New Roman" w:cs="Times New Roman"/>
          <w:b/>
          <w:sz w:val="28"/>
          <w:szCs w:val="28"/>
        </w:rPr>
      </w:pPr>
      <w:r>
        <w:rPr>
          <w:rFonts w:ascii="Times New Roman" w:hAnsi="Times New Roman" w:cs="Times New Roman"/>
          <w:b/>
          <w:sz w:val="28"/>
          <w:szCs w:val="28"/>
        </w:rPr>
        <w:t>Потребительский рынок</w:t>
      </w:r>
    </w:p>
    <w:p w:rsidR="004E132D" w:rsidRDefault="004E132D" w:rsidP="004E132D">
      <w:pPr>
        <w:spacing w:after="0"/>
        <w:ind w:firstLine="567"/>
        <w:jc w:val="both"/>
        <w:rPr>
          <w:rFonts w:ascii="Times New Roman" w:hAnsi="Times New Roman"/>
          <w:sz w:val="28"/>
          <w:szCs w:val="28"/>
        </w:rPr>
      </w:pPr>
      <w:r w:rsidRPr="00D04828">
        <w:rPr>
          <w:rFonts w:ascii="Times New Roman" w:hAnsi="Times New Roman"/>
          <w:sz w:val="28"/>
          <w:szCs w:val="28"/>
        </w:rPr>
        <w:t xml:space="preserve">Сфера потребительского рынка городского округа насчитывает 186 объектов, в том числе: оптовая торговля – 2; розничная торговля – 88; рынок – 1; нестационарные торговые объекты (киоски и павильоны) – 12; пищевая и перерабатывающая промышленность (в т.ч. рыбодобывающие предприятия) – 12, общественное питание (в т.ч. столовые школьные) – 12, гостиничное хозяйство – 3, бытовое обслуживание – 56. </w:t>
      </w:r>
    </w:p>
    <w:p w:rsidR="00146562" w:rsidRDefault="00146562" w:rsidP="004E132D">
      <w:pPr>
        <w:spacing w:after="0"/>
        <w:ind w:firstLine="567"/>
        <w:jc w:val="both"/>
        <w:rPr>
          <w:rFonts w:ascii="Times New Roman" w:hAnsi="Times New Roman"/>
          <w:sz w:val="28"/>
          <w:szCs w:val="28"/>
        </w:rPr>
      </w:pPr>
    </w:p>
    <w:p w:rsidR="00146562" w:rsidRDefault="00146562" w:rsidP="00146562">
      <w:pPr>
        <w:spacing w:after="0"/>
        <w:ind w:firstLine="567"/>
        <w:jc w:val="center"/>
        <w:rPr>
          <w:rFonts w:ascii="Times New Roman" w:hAnsi="Times New Roman"/>
          <w:b/>
          <w:sz w:val="28"/>
          <w:szCs w:val="28"/>
        </w:rPr>
      </w:pPr>
    </w:p>
    <w:p w:rsidR="00146562" w:rsidRDefault="00146562" w:rsidP="00146562">
      <w:pPr>
        <w:spacing w:after="0"/>
        <w:ind w:firstLine="567"/>
        <w:jc w:val="center"/>
        <w:rPr>
          <w:rFonts w:ascii="Times New Roman" w:hAnsi="Times New Roman"/>
          <w:b/>
          <w:sz w:val="28"/>
          <w:szCs w:val="28"/>
        </w:rPr>
      </w:pPr>
    </w:p>
    <w:p w:rsidR="00146562" w:rsidRDefault="00146562" w:rsidP="00146562">
      <w:pPr>
        <w:spacing w:after="0"/>
        <w:ind w:firstLine="567"/>
        <w:jc w:val="center"/>
        <w:rPr>
          <w:rFonts w:ascii="Times New Roman" w:hAnsi="Times New Roman"/>
          <w:b/>
          <w:sz w:val="28"/>
          <w:szCs w:val="28"/>
        </w:rPr>
      </w:pPr>
    </w:p>
    <w:p w:rsidR="00146562" w:rsidRDefault="00146562" w:rsidP="00146562">
      <w:pPr>
        <w:spacing w:after="0"/>
        <w:ind w:firstLine="567"/>
        <w:jc w:val="center"/>
        <w:rPr>
          <w:rFonts w:ascii="Times New Roman" w:hAnsi="Times New Roman"/>
          <w:b/>
          <w:sz w:val="28"/>
          <w:szCs w:val="28"/>
        </w:rPr>
      </w:pPr>
    </w:p>
    <w:p w:rsidR="00146562" w:rsidRDefault="00146562" w:rsidP="00146562">
      <w:pPr>
        <w:spacing w:after="0"/>
        <w:ind w:firstLine="567"/>
        <w:jc w:val="center"/>
        <w:rPr>
          <w:rFonts w:ascii="Times New Roman" w:hAnsi="Times New Roman"/>
          <w:b/>
          <w:sz w:val="28"/>
          <w:szCs w:val="28"/>
        </w:rPr>
      </w:pPr>
    </w:p>
    <w:p w:rsidR="00146562" w:rsidRDefault="00146562" w:rsidP="00146562">
      <w:pPr>
        <w:spacing w:after="0"/>
        <w:ind w:firstLine="567"/>
        <w:jc w:val="center"/>
        <w:rPr>
          <w:rFonts w:ascii="Times New Roman" w:hAnsi="Times New Roman"/>
          <w:b/>
          <w:sz w:val="28"/>
          <w:szCs w:val="28"/>
        </w:rPr>
      </w:pPr>
    </w:p>
    <w:p w:rsidR="00146562" w:rsidRPr="00146562" w:rsidRDefault="00146562" w:rsidP="00146562">
      <w:pPr>
        <w:spacing w:after="0"/>
        <w:ind w:firstLine="567"/>
        <w:jc w:val="center"/>
        <w:rPr>
          <w:rFonts w:ascii="Times New Roman" w:hAnsi="Times New Roman"/>
          <w:b/>
          <w:sz w:val="28"/>
          <w:szCs w:val="28"/>
        </w:rPr>
      </w:pPr>
      <w:r w:rsidRPr="00146562">
        <w:rPr>
          <w:rFonts w:ascii="Times New Roman" w:hAnsi="Times New Roman"/>
          <w:b/>
          <w:sz w:val="28"/>
          <w:szCs w:val="28"/>
        </w:rPr>
        <w:lastRenderedPageBreak/>
        <w:t>Количество хозяйствующих субъектов</w:t>
      </w:r>
    </w:p>
    <w:p w:rsidR="00146562" w:rsidRPr="00146562" w:rsidRDefault="00146562" w:rsidP="00146562">
      <w:pPr>
        <w:spacing w:after="0"/>
        <w:ind w:firstLine="567"/>
        <w:jc w:val="center"/>
        <w:rPr>
          <w:rFonts w:ascii="Times New Roman" w:hAnsi="Times New Roman"/>
          <w:b/>
          <w:sz w:val="28"/>
          <w:szCs w:val="28"/>
        </w:rPr>
      </w:pPr>
      <w:r w:rsidRPr="00146562">
        <w:rPr>
          <w:rFonts w:ascii="Times New Roman" w:hAnsi="Times New Roman"/>
          <w:b/>
          <w:sz w:val="28"/>
          <w:szCs w:val="28"/>
        </w:rPr>
        <w:t xml:space="preserve"> потребительского рынка</w:t>
      </w:r>
      <w:r>
        <w:rPr>
          <w:rFonts w:ascii="Times New Roman" w:hAnsi="Times New Roman"/>
          <w:b/>
          <w:sz w:val="28"/>
          <w:szCs w:val="28"/>
        </w:rPr>
        <w:t>, ед.</w:t>
      </w:r>
    </w:p>
    <w:p w:rsidR="004E132D" w:rsidRPr="004E132D" w:rsidRDefault="004E132D" w:rsidP="004E132D">
      <w:pPr>
        <w:ind w:firstLine="567"/>
        <w:jc w:val="center"/>
        <w:rPr>
          <w:rFonts w:ascii="Times New Roman" w:hAnsi="Times New Roman" w:cs="Times New Roman"/>
          <w:b/>
          <w:i/>
          <w:sz w:val="26"/>
          <w:szCs w:val="26"/>
        </w:rPr>
      </w:pPr>
      <w:r>
        <w:rPr>
          <w:noProof/>
          <w:lang w:eastAsia="ru-RU"/>
        </w:rPr>
        <w:drawing>
          <wp:inline distT="0" distB="0" distL="0" distR="0">
            <wp:extent cx="5613400" cy="1828800"/>
            <wp:effectExtent l="0" t="0" r="0" b="0"/>
            <wp:docPr id="7"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4E132D">
        <w:rPr>
          <w:rFonts w:ascii="Times New Roman" w:hAnsi="Times New Roman" w:cs="Times New Roman"/>
          <w:i/>
        </w:rPr>
        <w:t xml:space="preserve">Рисунок </w:t>
      </w:r>
      <w:r w:rsidR="00946CB4" w:rsidRPr="004E132D">
        <w:rPr>
          <w:rFonts w:ascii="Times New Roman" w:hAnsi="Times New Roman" w:cs="Times New Roman"/>
          <w:i/>
        </w:rPr>
        <w:fldChar w:fldCharType="begin"/>
      </w:r>
      <w:r w:rsidRPr="004E132D">
        <w:rPr>
          <w:rFonts w:ascii="Times New Roman" w:hAnsi="Times New Roman" w:cs="Times New Roman"/>
          <w:i/>
        </w:rPr>
        <w:instrText xml:space="preserve"> SEQ Рисунок \* ARABIC </w:instrText>
      </w:r>
      <w:r w:rsidR="00946CB4" w:rsidRPr="004E132D">
        <w:rPr>
          <w:rFonts w:ascii="Times New Roman" w:hAnsi="Times New Roman" w:cs="Times New Roman"/>
          <w:i/>
        </w:rPr>
        <w:fldChar w:fldCharType="separate"/>
      </w:r>
      <w:r w:rsidRPr="004E132D">
        <w:rPr>
          <w:rFonts w:ascii="Times New Roman" w:hAnsi="Times New Roman" w:cs="Times New Roman"/>
          <w:i/>
          <w:noProof/>
        </w:rPr>
        <w:t>1</w:t>
      </w:r>
      <w:r w:rsidR="00946CB4" w:rsidRPr="004E132D">
        <w:rPr>
          <w:rFonts w:ascii="Times New Roman" w:hAnsi="Times New Roman" w:cs="Times New Roman"/>
          <w:i/>
        </w:rPr>
        <w:fldChar w:fldCharType="end"/>
      </w:r>
      <w:r w:rsidRPr="004E132D">
        <w:rPr>
          <w:rFonts w:ascii="Times New Roman" w:hAnsi="Times New Roman" w:cs="Times New Roman"/>
          <w:i/>
        </w:rPr>
        <w:t>2</w:t>
      </w:r>
    </w:p>
    <w:p w:rsidR="004E132D" w:rsidRPr="00D04828" w:rsidRDefault="004E132D" w:rsidP="004E132D">
      <w:pPr>
        <w:tabs>
          <w:tab w:val="left" w:pos="933"/>
        </w:tabs>
        <w:spacing w:line="240" w:lineRule="auto"/>
        <w:jc w:val="both"/>
        <w:rPr>
          <w:rFonts w:ascii="Times New Roman" w:hAnsi="Times New Roman"/>
          <w:sz w:val="28"/>
          <w:szCs w:val="28"/>
        </w:rPr>
      </w:pPr>
      <w:r w:rsidRPr="00D04828">
        <w:rPr>
          <w:rFonts w:ascii="Times New Roman" w:hAnsi="Times New Roman"/>
          <w:sz w:val="28"/>
          <w:szCs w:val="28"/>
        </w:rPr>
        <w:t xml:space="preserve">      Обеспеченность населения площадью торговых объектов на 1 тыс.жителей МО составляет 568 м</w:t>
      </w:r>
      <w:r w:rsidRPr="00D04828">
        <w:rPr>
          <w:rFonts w:ascii="Times New Roman" w:hAnsi="Times New Roman"/>
          <w:sz w:val="28"/>
          <w:szCs w:val="28"/>
          <w:vertAlign w:val="superscript"/>
        </w:rPr>
        <w:t xml:space="preserve">2  </w:t>
      </w:r>
      <w:r w:rsidRPr="00D04828">
        <w:rPr>
          <w:rFonts w:ascii="Times New Roman" w:hAnsi="Times New Roman"/>
          <w:sz w:val="28"/>
          <w:szCs w:val="28"/>
        </w:rPr>
        <w:t>или 131% (норматив минимальной обеспеченности 432 м</w:t>
      </w:r>
      <w:r w:rsidRPr="00D04828">
        <w:rPr>
          <w:rFonts w:ascii="Times New Roman" w:hAnsi="Times New Roman"/>
          <w:sz w:val="28"/>
          <w:szCs w:val="28"/>
          <w:vertAlign w:val="superscript"/>
        </w:rPr>
        <w:t>2</w:t>
      </w:r>
      <w:r w:rsidRPr="00D04828">
        <w:rPr>
          <w:rFonts w:ascii="Times New Roman" w:hAnsi="Times New Roman"/>
          <w:sz w:val="28"/>
          <w:szCs w:val="28"/>
        </w:rPr>
        <w:t xml:space="preserve"> /тыс.чел.), в том числе: с. Ныш – 236 м</w:t>
      </w:r>
      <w:r w:rsidRPr="00D04828">
        <w:rPr>
          <w:rFonts w:ascii="Times New Roman" w:hAnsi="Times New Roman"/>
          <w:sz w:val="28"/>
          <w:szCs w:val="28"/>
          <w:vertAlign w:val="superscript"/>
        </w:rPr>
        <w:t>2</w:t>
      </w:r>
      <w:r w:rsidRPr="00D04828">
        <w:rPr>
          <w:rFonts w:ascii="Times New Roman" w:hAnsi="Times New Roman"/>
          <w:sz w:val="28"/>
          <w:szCs w:val="28"/>
        </w:rPr>
        <w:t>/тыс.жит., с. Вал – 519 м</w:t>
      </w:r>
      <w:r w:rsidRPr="00D04828">
        <w:rPr>
          <w:rFonts w:ascii="Times New Roman" w:hAnsi="Times New Roman"/>
          <w:sz w:val="28"/>
          <w:szCs w:val="28"/>
          <w:vertAlign w:val="superscript"/>
        </w:rPr>
        <w:t>2</w:t>
      </w:r>
      <w:r w:rsidRPr="00D04828">
        <w:rPr>
          <w:rFonts w:ascii="Times New Roman" w:hAnsi="Times New Roman"/>
          <w:sz w:val="28"/>
          <w:szCs w:val="28"/>
        </w:rPr>
        <w:t>/тыс.жит., с. Катангли – 365 м</w:t>
      </w:r>
      <w:r w:rsidRPr="00D04828">
        <w:rPr>
          <w:rFonts w:ascii="Times New Roman" w:hAnsi="Times New Roman"/>
          <w:sz w:val="28"/>
          <w:szCs w:val="28"/>
          <w:vertAlign w:val="superscript"/>
        </w:rPr>
        <w:t>2</w:t>
      </w:r>
      <w:r w:rsidRPr="00D04828">
        <w:rPr>
          <w:rFonts w:ascii="Times New Roman" w:hAnsi="Times New Roman"/>
          <w:sz w:val="28"/>
          <w:szCs w:val="28"/>
        </w:rPr>
        <w:t>/тыс.жителей.</w:t>
      </w:r>
    </w:p>
    <w:p w:rsidR="004E132D" w:rsidRPr="00C414C8" w:rsidRDefault="004E132D" w:rsidP="004E132D">
      <w:pPr>
        <w:tabs>
          <w:tab w:val="left" w:pos="933"/>
        </w:tabs>
        <w:spacing w:line="240" w:lineRule="auto"/>
        <w:jc w:val="both"/>
        <w:rPr>
          <w:rFonts w:ascii="Times New Roman" w:hAnsi="Times New Roman"/>
          <w:sz w:val="26"/>
          <w:szCs w:val="26"/>
        </w:rPr>
      </w:pPr>
      <w:r>
        <w:rPr>
          <w:rFonts w:ascii="Times New Roman" w:hAnsi="Times New Roman"/>
          <w:noProof/>
          <w:sz w:val="26"/>
          <w:szCs w:val="26"/>
          <w:lang w:eastAsia="ru-RU"/>
        </w:rPr>
        <w:drawing>
          <wp:inline distT="0" distB="0" distL="0" distR="0">
            <wp:extent cx="5909945" cy="2315845"/>
            <wp:effectExtent l="0" t="0" r="0" b="0"/>
            <wp:docPr id="6"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E132D" w:rsidRPr="004E132D" w:rsidRDefault="004E132D" w:rsidP="004E132D">
      <w:pPr>
        <w:tabs>
          <w:tab w:val="left" w:pos="933"/>
        </w:tabs>
        <w:jc w:val="center"/>
        <w:rPr>
          <w:rFonts w:ascii="Times New Roman" w:hAnsi="Times New Roman" w:cs="Times New Roman"/>
          <w:i/>
          <w:sz w:val="24"/>
          <w:szCs w:val="24"/>
        </w:rPr>
      </w:pPr>
      <w:r w:rsidRPr="004E132D">
        <w:rPr>
          <w:rFonts w:ascii="Times New Roman" w:hAnsi="Times New Roman" w:cs="Times New Roman"/>
          <w:i/>
          <w:sz w:val="24"/>
          <w:szCs w:val="24"/>
        </w:rPr>
        <w:t>Рисунок 13</w:t>
      </w:r>
    </w:p>
    <w:p w:rsidR="004E132D" w:rsidRPr="00D04828" w:rsidRDefault="004E132D" w:rsidP="004E132D">
      <w:pPr>
        <w:spacing w:before="75" w:after="0" w:line="240" w:lineRule="auto"/>
        <w:jc w:val="both"/>
        <w:rPr>
          <w:rFonts w:ascii="Times New Roman" w:hAnsi="Times New Roman"/>
          <w:sz w:val="28"/>
          <w:szCs w:val="28"/>
        </w:rPr>
      </w:pPr>
      <w:r w:rsidRPr="00D04828">
        <w:rPr>
          <w:rFonts w:ascii="Times New Roman" w:hAnsi="Times New Roman"/>
          <w:sz w:val="28"/>
          <w:szCs w:val="28"/>
        </w:rPr>
        <w:t xml:space="preserve">      Оборот </w:t>
      </w:r>
      <w:r w:rsidRPr="00D04828">
        <w:rPr>
          <w:rFonts w:ascii="Times New Roman" w:hAnsi="Times New Roman"/>
          <w:i/>
          <w:sz w:val="28"/>
          <w:szCs w:val="28"/>
        </w:rPr>
        <w:t>розничной торговли</w:t>
      </w:r>
      <w:r w:rsidRPr="00D04828">
        <w:rPr>
          <w:rFonts w:ascii="Times New Roman" w:hAnsi="Times New Roman"/>
          <w:sz w:val="28"/>
          <w:szCs w:val="28"/>
        </w:rPr>
        <w:t xml:space="preserve"> во всех каналах реализации составил 2764,1 млн.руб., что в сопоставимых ценах ниже на 4% к 2014г. В том числе 99,2% оборота розничной торговли формировался торгующими организациями и индивидуальными предпринимателями, осуществляющими деятельность в стационарной торговой сети и 0,8% - за счет продажи товаров на розничных рынках и ярмарках.</w:t>
      </w:r>
    </w:p>
    <w:p w:rsidR="004E132D" w:rsidRPr="00D04828" w:rsidRDefault="004E132D" w:rsidP="004E132D">
      <w:pPr>
        <w:spacing w:after="0" w:line="240" w:lineRule="auto"/>
        <w:jc w:val="both"/>
        <w:rPr>
          <w:rFonts w:ascii="Times New Roman" w:hAnsi="Times New Roman"/>
          <w:sz w:val="28"/>
          <w:szCs w:val="28"/>
        </w:rPr>
      </w:pPr>
      <w:r w:rsidRPr="00D04828">
        <w:rPr>
          <w:rFonts w:ascii="Times New Roman" w:hAnsi="Times New Roman"/>
          <w:sz w:val="28"/>
          <w:szCs w:val="28"/>
        </w:rPr>
        <w:t xml:space="preserve">       Мобилизация платежей в бюджеты МО по виду экономической деятельности «оптовая и розничная торговля, а также торговля автотранспортными мотоциклами, их техническое обслуживание и ремонт» превысила показатели 2014 года в 1,8 раз.</w:t>
      </w:r>
    </w:p>
    <w:p w:rsidR="004E132D" w:rsidRPr="00D04828" w:rsidRDefault="004E132D" w:rsidP="004E132D">
      <w:pPr>
        <w:spacing w:after="0" w:line="240" w:lineRule="auto"/>
        <w:jc w:val="both"/>
        <w:rPr>
          <w:rFonts w:ascii="Times New Roman" w:hAnsi="Times New Roman"/>
          <w:sz w:val="28"/>
          <w:szCs w:val="28"/>
        </w:rPr>
      </w:pPr>
      <w:r w:rsidRPr="00D04828">
        <w:rPr>
          <w:rFonts w:ascii="Times New Roman" w:hAnsi="Times New Roman"/>
          <w:sz w:val="28"/>
          <w:szCs w:val="28"/>
        </w:rPr>
        <w:t xml:space="preserve">       Н</w:t>
      </w:r>
      <w:r w:rsidRPr="00D04828">
        <w:rPr>
          <w:rFonts w:ascii="Times New Roman" w:eastAsia="Times New Roman" w:hAnsi="Times New Roman"/>
          <w:color w:val="000000"/>
          <w:sz w:val="28"/>
          <w:szCs w:val="28"/>
          <w:lang w:eastAsia="ru-RU"/>
        </w:rPr>
        <w:t xml:space="preserve">а потребительском рынке в муниципальном образовании ассортимент и уровень товарной насыщенности социально значимых продуктов питания достаточен. </w:t>
      </w:r>
      <w:r w:rsidRPr="00D04828">
        <w:rPr>
          <w:rFonts w:ascii="Times New Roman" w:hAnsi="Times New Roman"/>
          <w:sz w:val="28"/>
          <w:szCs w:val="28"/>
        </w:rPr>
        <w:t xml:space="preserve">На душу населения оборот розничной торговли составил 241728 </w:t>
      </w:r>
      <w:r w:rsidRPr="00D04828">
        <w:rPr>
          <w:rFonts w:ascii="Times New Roman" w:hAnsi="Times New Roman"/>
          <w:sz w:val="28"/>
          <w:szCs w:val="28"/>
        </w:rPr>
        <w:lastRenderedPageBreak/>
        <w:t xml:space="preserve">рублей, что превышает все показатели других районов Сахалинской области, кроме г. Южно-Сахалинска (419803 руб.). </w:t>
      </w:r>
    </w:p>
    <w:p w:rsidR="004E132D" w:rsidRPr="00D04828" w:rsidRDefault="004E132D" w:rsidP="004E132D">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 xml:space="preserve">       Для поддержки социальных малообеспеченных слоев населения в МО работает магазин «Визит» со статусом «социальный». Цены на основные группы продовольственных товаров, входящих в потребительскую корзину (более 25 наименований) сформированы ниже сложившихся в розничной торговле МО, с 10-15% наценкой.   В рамках реализации мероприятий муниципальной Программы «Социальная поддержка отдельных категорий граждан, проживающих на территории</w:t>
      </w:r>
      <w:r w:rsidRPr="00D04828">
        <w:rPr>
          <w:sz w:val="28"/>
          <w:szCs w:val="28"/>
        </w:rPr>
        <w:t xml:space="preserve"> </w:t>
      </w:r>
      <w:r w:rsidR="00D04828" w:rsidRPr="00D04828">
        <w:rPr>
          <w:rFonts w:ascii="Times New Roman" w:hAnsi="Times New Roman"/>
          <w:sz w:val="28"/>
          <w:szCs w:val="28"/>
        </w:rPr>
        <w:t>муниципального образования «Городской округ Ногликский»</w:t>
      </w:r>
      <w:r w:rsidRPr="00D04828">
        <w:rPr>
          <w:rFonts w:ascii="Times New Roman" w:hAnsi="Times New Roman"/>
          <w:sz w:val="28"/>
          <w:szCs w:val="28"/>
        </w:rPr>
        <w:t xml:space="preserve"> производится ежемесячная компенсация затрат по аренде помещения магазина.</w:t>
      </w:r>
    </w:p>
    <w:p w:rsidR="004E132D" w:rsidRPr="00D04828" w:rsidRDefault="004E132D" w:rsidP="004E132D">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 xml:space="preserve">       Еженедельно обследуются 7 розничных торговых объектов на предмет экономической доступности товаров для населения. По итогам 2015 г. рост цен на продукты питания достиг показателя 23%, в том числе на хлебобулочные изделия  – 5%, крупы (рис, гречка) и макаронные изделия – 40%, сахар – 35%, колбасы – 11%, мясо – 6%, молочная продукция – 7%, свежие овощи – 13%, свежие фрукты – 13%. Горюче-смазочные материалы повысились за 2015 год на 2,8%.</w:t>
      </w:r>
    </w:p>
    <w:p w:rsidR="004E132D" w:rsidRPr="00D04828" w:rsidRDefault="004E132D" w:rsidP="004E132D">
      <w:pPr>
        <w:spacing w:after="0" w:line="240" w:lineRule="auto"/>
        <w:jc w:val="both"/>
        <w:rPr>
          <w:rFonts w:ascii="Times New Roman" w:eastAsia="Times New Roman" w:hAnsi="Times New Roman"/>
          <w:color w:val="000000"/>
          <w:sz w:val="28"/>
          <w:szCs w:val="28"/>
          <w:lang w:eastAsia="ru-RU"/>
        </w:rPr>
      </w:pPr>
      <w:r w:rsidRPr="00D04828">
        <w:rPr>
          <w:rFonts w:ascii="Times New Roman" w:eastAsia="Times New Roman" w:hAnsi="Times New Roman"/>
          <w:sz w:val="28"/>
          <w:szCs w:val="28"/>
          <w:lang w:eastAsia="ru-RU"/>
        </w:rPr>
        <w:t xml:space="preserve">      </w:t>
      </w:r>
      <w:r w:rsidR="00D04828" w:rsidRPr="00D04828">
        <w:rPr>
          <w:rFonts w:ascii="Times New Roman" w:hAnsi="Times New Roman"/>
          <w:sz w:val="28"/>
          <w:szCs w:val="28"/>
        </w:rPr>
        <w:t xml:space="preserve">Для недопущения необоснованного роста розничных цен на продукты питания в марте 2015 года, 15 хозяйствующих субъектов подписали Меморандум по обеспечению доступными и качественными товарами населения по 22 видам. На сегодняшний день порядка 7 хоз.субъектов придерживаются Меморандума. </w:t>
      </w:r>
      <w:r w:rsidRPr="00D04828">
        <w:rPr>
          <w:rFonts w:ascii="Times New Roman" w:eastAsia="Times New Roman" w:hAnsi="Times New Roman"/>
          <w:sz w:val="28"/>
          <w:szCs w:val="28"/>
          <w:lang w:eastAsia="ru-RU"/>
        </w:rPr>
        <w:t xml:space="preserve"> С</w:t>
      </w:r>
      <w:r w:rsidRPr="00D04828">
        <w:rPr>
          <w:rFonts w:ascii="Times New Roman" w:eastAsia="Times New Roman" w:hAnsi="Times New Roman"/>
          <w:bCs/>
          <w:sz w:val="28"/>
          <w:szCs w:val="28"/>
          <w:lang w:eastAsia="ru-RU"/>
        </w:rPr>
        <w:t>табилизация ценовой ситуации решалась путем создания эффективной конкурентной среды как фактора сдерживания роста цен и предотвращения монополизации отдельных сегментов рынка, за счет</w:t>
      </w:r>
      <w:r w:rsidRPr="00D04828">
        <w:rPr>
          <w:rFonts w:ascii="Times New Roman" w:eastAsia="Times New Roman" w:hAnsi="Times New Roman"/>
          <w:sz w:val="28"/>
          <w:szCs w:val="28"/>
          <w:lang w:eastAsia="ru-RU"/>
        </w:rPr>
        <w:t xml:space="preserve"> проведения выставочно-ярмарочных мероприятий. В 2015 году были проведены сельскохозяйственная и новогодняя ярмарки, а также ежедневно работает универсальная ярмарка, в которой принимают участие местные товаропроизводители, КФХ и граждане, имеющие личные подсобные хозяйства, рыбопромышленные предприятия, рыболовы-любители. </w:t>
      </w:r>
      <w:r w:rsidRPr="00D04828">
        <w:rPr>
          <w:rFonts w:ascii="Times New Roman" w:eastAsia="Times New Roman" w:hAnsi="Times New Roman"/>
          <w:color w:val="000000"/>
          <w:sz w:val="28"/>
          <w:szCs w:val="28"/>
          <w:lang w:eastAsia="ru-RU"/>
        </w:rPr>
        <w:t xml:space="preserve">На торговлю сельскохозяйственной и мясомолочной продукцией с автомашин приглашаются  сельхозтоваропроизводители из других районов Сахалинской области, которым выдается разрешение на торговлю. </w:t>
      </w:r>
    </w:p>
    <w:p w:rsidR="00D04828" w:rsidRPr="00D04828" w:rsidRDefault="00D04828" w:rsidP="00D04828">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ab/>
        <w:t xml:space="preserve">В 2015 году на территории области начал реализовываться региональный проект «Доступная рыба». В городском округе статус участников проекта получили 3 торговых объекта и 2 рыбодобывающих. Субъекты торговой сферы не превышают применения торговой надбавки выше 15 процентов и выдерживают ассортимент не менее 7 доступных видов рыб.   </w:t>
      </w:r>
    </w:p>
    <w:p w:rsidR="004E132D" w:rsidRPr="00D04828" w:rsidRDefault="004E132D" w:rsidP="004E132D">
      <w:pPr>
        <w:spacing w:after="0"/>
        <w:jc w:val="both"/>
        <w:rPr>
          <w:rFonts w:ascii="Times New Roman" w:eastAsia="Times New Roman" w:hAnsi="Times New Roman"/>
          <w:sz w:val="28"/>
          <w:szCs w:val="28"/>
          <w:lang w:eastAsia="ru-RU"/>
        </w:rPr>
      </w:pPr>
      <w:r w:rsidRPr="00D04828">
        <w:rPr>
          <w:rFonts w:ascii="Times New Roman" w:eastAsia="Times New Roman" w:hAnsi="Times New Roman"/>
          <w:sz w:val="28"/>
          <w:szCs w:val="28"/>
          <w:lang w:eastAsia="ru-RU"/>
        </w:rPr>
        <w:t xml:space="preserve">         В 2015 году в</w:t>
      </w:r>
      <w:r w:rsidRPr="00D04828">
        <w:rPr>
          <w:rFonts w:ascii="Times New Roman" w:eastAsia="Times New Roman" w:hAnsi="Times New Roman"/>
          <w:color w:val="000000"/>
          <w:sz w:val="28"/>
          <w:szCs w:val="28"/>
          <w:lang w:eastAsia="ru-RU"/>
        </w:rPr>
        <w:t xml:space="preserve">ыделено проектное место под установку сельскохозяйственный павильона для КФХ,  </w:t>
      </w:r>
      <w:r w:rsidRPr="00D04828">
        <w:rPr>
          <w:rFonts w:ascii="Times New Roman" w:eastAsia="Times New Roman" w:hAnsi="Times New Roman"/>
          <w:sz w:val="28"/>
          <w:szCs w:val="28"/>
          <w:lang w:eastAsia="ru-RU"/>
        </w:rPr>
        <w:t>открылся нестационарный торговый объект – павильон «Цветы».</w:t>
      </w:r>
    </w:p>
    <w:p w:rsidR="004E132D" w:rsidRPr="00D04828" w:rsidRDefault="004E132D" w:rsidP="004E132D">
      <w:pPr>
        <w:spacing w:after="0"/>
        <w:jc w:val="both"/>
        <w:rPr>
          <w:rFonts w:ascii="Times New Roman" w:eastAsia="Times New Roman" w:hAnsi="Times New Roman"/>
          <w:sz w:val="28"/>
          <w:szCs w:val="28"/>
          <w:lang w:eastAsia="ru-RU"/>
        </w:rPr>
      </w:pPr>
      <w:r w:rsidRPr="00D04828">
        <w:rPr>
          <w:rFonts w:ascii="Times New Roman" w:eastAsia="Times New Roman" w:hAnsi="Times New Roman"/>
          <w:sz w:val="28"/>
          <w:szCs w:val="28"/>
          <w:lang w:eastAsia="ru-RU"/>
        </w:rPr>
        <w:t xml:space="preserve">       Объем частных инвестиций в реконструкцию и модернизацию торговых объектов за отчетный период составил 19,5 млн.руб.</w:t>
      </w:r>
    </w:p>
    <w:p w:rsidR="00D04828" w:rsidRPr="00D04828" w:rsidRDefault="00D04828" w:rsidP="00D04828">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lastRenderedPageBreak/>
        <w:tab/>
        <w:t xml:space="preserve">На территории округа действует 2 предприятия </w:t>
      </w:r>
      <w:r w:rsidRPr="00D04828">
        <w:rPr>
          <w:rFonts w:ascii="Times New Roman" w:hAnsi="Times New Roman"/>
          <w:i/>
          <w:sz w:val="28"/>
          <w:szCs w:val="28"/>
        </w:rPr>
        <w:t>оптовой торговли</w:t>
      </w:r>
      <w:r w:rsidRPr="00D04828">
        <w:rPr>
          <w:rFonts w:ascii="Times New Roman" w:hAnsi="Times New Roman"/>
          <w:sz w:val="28"/>
          <w:szCs w:val="28"/>
        </w:rPr>
        <w:t xml:space="preserve">. Оборот оптовой торговли увеличился в 1,4 раза к уровню 2014 года. </w:t>
      </w:r>
    </w:p>
    <w:p w:rsidR="00D04828" w:rsidRPr="00505DF2" w:rsidRDefault="00D04828" w:rsidP="004E132D">
      <w:pPr>
        <w:spacing w:after="0"/>
        <w:jc w:val="both"/>
        <w:rPr>
          <w:rFonts w:ascii="Times New Roman" w:eastAsia="Times New Roman" w:hAnsi="Times New Roman"/>
          <w:sz w:val="26"/>
          <w:szCs w:val="26"/>
          <w:lang w:eastAsia="ru-RU"/>
        </w:rPr>
      </w:pPr>
    </w:p>
    <w:p w:rsidR="004E132D" w:rsidRPr="00D04828" w:rsidRDefault="004E132D" w:rsidP="004E132D">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 xml:space="preserve">          Сфера </w:t>
      </w:r>
      <w:r w:rsidRPr="00D04828">
        <w:rPr>
          <w:rFonts w:ascii="Times New Roman" w:hAnsi="Times New Roman"/>
          <w:i/>
          <w:sz w:val="28"/>
          <w:szCs w:val="28"/>
        </w:rPr>
        <w:t>общественного питания,</w:t>
      </w:r>
      <w:r w:rsidRPr="00D04828">
        <w:rPr>
          <w:rFonts w:ascii="Times New Roman" w:hAnsi="Times New Roman"/>
          <w:sz w:val="28"/>
          <w:szCs w:val="28"/>
        </w:rPr>
        <w:t xml:space="preserve"> как и торговля, - сектор услуг для населения. В округе осуществляют деятельность всего 13 предприятий общественного питания на 773 посадочных мест, из них 6 объектов общедоступной сети (кафе) на 327 посадочных мест.</w:t>
      </w:r>
    </w:p>
    <w:p w:rsidR="004E132D" w:rsidRDefault="004E132D" w:rsidP="004E132D">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 xml:space="preserve">         Норматив посадочных мест на одну тысячи жителей составляет – 40, с учетом фактически функционирующих предприятий общественного питания (с учетом школьных столовых) на 01.01.2016 года показатель составил 67, в том числе 29 посадочных мест являются общедоступными.</w:t>
      </w:r>
    </w:p>
    <w:p w:rsidR="00146562" w:rsidRDefault="00146562" w:rsidP="004E132D">
      <w:pPr>
        <w:tabs>
          <w:tab w:val="left" w:pos="933"/>
        </w:tabs>
        <w:spacing w:after="0" w:line="240" w:lineRule="auto"/>
        <w:jc w:val="both"/>
        <w:rPr>
          <w:rFonts w:ascii="Times New Roman" w:hAnsi="Times New Roman"/>
          <w:sz w:val="28"/>
          <w:szCs w:val="28"/>
        </w:rPr>
      </w:pPr>
    </w:p>
    <w:p w:rsidR="00146562" w:rsidRPr="00146562" w:rsidRDefault="00146562" w:rsidP="00146562">
      <w:pPr>
        <w:tabs>
          <w:tab w:val="left" w:pos="933"/>
        </w:tabs>
        <w:spacing w:after="0" w:line="240" w:lineRule="auto"/>
        <w:jc w:val="center"/>
        <w:rPr>
          <w:rFonts w:ascii="Times New Roman" w:hAnsi="Times New Roman"/>
          <w:b/>
          <w:sz w:val="28"/>
          <w:szCs w:val="28"/>
        </w:rPr>
      </w:pPr>
      <w:r>
        <w:rPr>
          <w:rFonts w:ascii="Times New Roman" w:hAnsi="Times New Roman"/>
          <w:b/>
          <w:sz w:val="28"/>
          <w:szCs w:val="28"/>
        </w:rPr>
        <w:t>Количество объектов общественного питания, ед.</w:t>
      </w:r>
    </w:p>
    <w:p w:rsidR="004E132D" w:rsidRPr="00C414C8" w:rsidRDefault="004E132D" w:rsidP="004E132D">
      <w:pPr>
        <w:tabs>
          <w:tab w:val="left" w:pos="933"/>
        </w:tabs>
        <w:jc w:val="both"/>
        <w:rPr>
          <w:rFonts w:ascii="Times New Roman" w:hAnsi="Times New Roman"/>
          <w:sz w:val="26"/>
          <w:szCs w:val="26"/>
        </w:rPr>
      </w:pPr>
      <w:r>
        <w:rPr>
          <w:rFonts w:ascii="Times New Roman" w:hAnsi="Times New Roman"/>
          <w:noProof/>
          <w:sz w:val="26"/>
          <w:szCs w:val="26"/>
          <w:lang w:eastAsia="ru-RU"/>
        </w:rPr>
        <w:drawing>
          <wp:inline distT="0" distB="0" distL="0" distR="0">
            <wp:extent cx="5715000" cy="1828800"/>
            <wp:effectExtent l="0" t="0" r="0" b="0"/>
            <wp:docPr id="5"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E132D" w:rsidRPr="004E132D" w:rsidRDefault="004E132D" w:rsidP="004E132D">
      <w:pPr>
        <w:tabs>
          <w:tab w:val="left" w:pos="933"/>
        </w:tabs>
        <w:jc w:val="center"/>
        <w:rPr>
          <w:rFonts w:ascii="Times New Roman" w:hAnsi="Times New Roman" w:cs="Times New Roman"/>
          <w:i/>
          <w:sz w:val="24"/>
          <w:szCs w:val="24"/>
        </w:rPr>
      </w:pPr>
      <w:r w:rsidRPr="004E132D">
        <w:rPr>
          <w:rFonts w:ascii="Times New Roman" w:hAnsi="Times New Roman" w:cs="Times New Roman"/>
          <w:i/>
          <w:sz w:val="24"/>
          <w:szCs w:val="24"/>
        </w:rPr>
        <w:t>Рисунок 14</w:t>
      </w:r>
    </w:p>
    <w:p w:rsidR="004E132D" w:rsidRPr="00D04828" w:rsidRDefault="004E132D" w:rsidP="004E132D">
      <w:pPr>
        <w:spacing w:after="0" w:line="240" w:lineRule="auto"/>
        <w:jc w:val="both"/>
        <w:rPr>
          <w:rFonts w:ascii="Times New Roman" w:hAnsi="Times New Roman"/>
          <w:sz w:val="28"/>
          <w:szCs w:val="28"/>
        </w:rPr>
      </w:pPr>
      <w:r w:rsidRPr="00D04828">
        <w:rPr>
          <w:rFonts w:ascii="Times New Roman" w:hAnsi="Times New Roman"/>
          <w:sz w:val="28"/>
          <w:szCs w:val="28"/>
        </w:rPr>
        <w:t xml:space="preserve">       Особенностью рынка общественного питания становятся услуги по доставке блюд и кулинарных изделий по заказу, бизнес-ланч общедоступной сети предприятий, в том числе «быстрого» питания. Открылась пицерия «Марио», где организовано 8 рабочих мест. Всего занятых в отрасли составляет 80 человек работающих.</w:t>
      </w:r>
    </w:p>
    <w:p w:rsidR="004E132D" w:rsidRPr="00D04828" w:rsidRDefault="004E132D" w:rsidP="004E132D">
      <w:pPr>
        <w:tabs>
          <w:tab w:val="left" w:pos="933"/>
        </w:tabs>
        <w:spacing w:after="0" w:line="240" w:lineRule="auto"/>
        <w:jc w:val="both"/>
        <w:rPr>
          <w:rFonts w:ascii="Times New Roman" w:hAnsi="Times New Roman"/>
          <w:sz w:val="28"/>
          <w:szCs w:val="28"/>
        </w:rPr>
      </w:pPr>
      <w:r w:rsidRPr="00D04828">
        <w:rPr>
          <w:rFonts w:ascii="Times New Roman" w:hAnsi="Times New Roman"/>
          <w:sz w:val="28"/>
          <w:szCs w:val="28"/>
        </w:rPr>
        <w:t xml:space="preserve">        Объем оборота общественного питания (по оценке) за 2015 год составил 1013 млн.руб., в сопоставимых ценах к 2014 году произошло снижение показателей на 2,4%. Снижение оборота общественного питания по сравнению с 2014 годом допустило ООО «РПСС Глобал». Закрылись предприятия общественного питания «Ночной бар «Завод» на 50 п.м., столовая «У Люси» на 40 п.м. в с. Вал и столовая на 20 п.м. в с. Горячие Ключи. </w:t>
      </w:r>
    </w:p>
    <w:p w:rsidR="004E132D" w:rsidRDefault="004E132D" w:rsidP="004E132D">
      <w:pPr>
        <w:spacing w:after="0"/>
        <w:jc w:val="both"/>
        <w:rPr>
          <w:rFonts w:ascii="Times New Roman" w:eastAsia="Times New Roman" w:hAnsi="Times New Roman"/>
          <w:sz w:val="28"/>
          <w:szCs w:val="28"/>
          <w:lang w:eastAsia="ru-RU"/>
        </w:rPr>
      </w:pPr>
      <w:r w:rsidRPr="00D04828">
        <w:rPr>
          <w:rFonts w:ascii="Times New Roman" w:hAnsi="Times New Roman"/>
          <w:sz w:val="28"/>
          <w:szCs w:val="28"/>
        </w:rPr>
        <w:t xml:space="preserve">      Сфера </w:t>
      </w:r>
      <w:r w:rsidRPr="00D04828">
        <w:rPr>
          <w:rFonts w:ascii="Times New Roman" w:hAnsi="Times New Roman"/>
          <w:i/>
          <w:sz w:val="28"/>
          <w:szCs w:val="28"/>
        </w:rPr>
        <w:t>бытового обслуживания</w:t>
      </w:r>
      <w:r w:rsidRPr="00D04828">
        <w:rPr>
          <w:rFonts w:ascii="Times New Roman" w:hAnsi="Times New Roman"/>
          <w:sz w:val="28"/>
          <w:szCs w:val="28"/>
        </w:rPr>
        <w:t xml:space="preserve"> населения является одной из важнейших в обеспечении потребностей граждан в разнообразных видах услуг и относится к разряду социально значимых. </w:t>
      </w:r>
      <w:r w:rsidR="00D04828" w:rsidRPr="00D04828">
        <w:rPr>
          <w:rFonts w:ascii="Times New Roman" w:hAnsi="Times New Roman"/>
          <w:sz w:val="28"/>
          <w:szCs w:val="28"/>
        </w:rPr>
        <w:t>С</w:t>
      </w:r>
      <w:r w:rsidRPr="00D04828">
        <w:rPr>
          <w:rFonts w:ascii="Times New Roman" w:hAnsi="Times New Roman"/>
          <w:sz w:val="28"/>
          <w:szCs w:val="28"/>
        </w:rPr>
        <w:t>фера бытового обслуживания включает в себя 56 объектов.</w:t>
      </w:r>
      <w:r w:rsidRPr="00D04828">
        <w:rPr>
          <w:sz w:val="28"/>
          <w:szCs w:val="28"/>
        </w:rPr>
        <w:t xml:space="preserve"> </w:t>
      </w:r>
      <w:r w:rsidRPr="00D04828">
        <w:rPr>
          <w:rFonts w:ascii="Times New Roman" w:hAnsi="Times New Roman"/>
          <w:sz w:val="28"/>
          <w:szCs w:val="28"/>
        </w:rPr>
        <w:t>Рынок платных услуг населению представлен услугами:</w:t>
      </w:r>
      <w:r w:rsidRPr="00D04828">
        <w:rPr>
          <w:rFonts w:ascii="Times New Roman" w:eastAsia="Times New Roman" w:hAnsi="Times New Roman"/>
          <w:sz w:val="28"/>
          <w:szCs w:val="28"/>
          <w:lang w:eastAsia="ru-RU"/>
        </w:rPr>
        <w:t xml:space="preserve"> по ремонту и пошиву обуви и швейных изделий, ремонту радиоэлектроной аппаратуры, металлоизделий, ювелирным работам, услугами парикмахерских и косметических кабинетов, фотоуслугами, </w:t>
      </w:r>
      <w:r w:rsidRPr="00D04828">
        <w:rPr>
          <w:rFonts w:ascii="Times New Roman" w:eastAsia="Times New Roman" w:hAnsi="Times New Roman"/>
          <w:sz w:val="28"/>
          <w:szCs w:val="28"/>
          <w:lang w:eastAsia="ru-RU"/>
        </w:rPr>
        <w:lastRenderedPageBreak/>
        <w:t xml:space="preserve">услугами бань и прачечных, по ремонту и строительству жилья, ритуальным, </w:t>
      </w:r>
      <w:r w:rsidR="00D04828">
        <w:rPr>
          <w:rFonts w:ascii="Times New Roman" w:eastAsia="Times New Roman" w:hAnsi="Times New Roman"/>
          <w:sz w:val="28"/>
          <w:szCs w:val="28"/>
          <w:lang w:eastAsia="ru-RU"/>
        </w:rPr>
        <w:t>техническое обслуживание и ремонт</w:t>
      </w:r>
      <w:r w:rsidRPr="00D04828">
        <w:rPr>
          <w:rFonts w:ascii="Times New Roman" w:eastAsia="Times New Roman" w:hAnsi="Times New Roman"/>
          <w:sz w:val="28"/>
          <w:szCs w:val="28"/>
          <w:lang w:eastAsia="ru-RU"/>
        </w:rPr>
        <w:t xml:space="preserve"> автотранспортных средств и другим.</w:t>
      </w:r>
    </w:p>
    <w:p w:rsidR="00146562" w:rsidRDefault="00146562" w:rsidP="004E132D">
      <w:pPr>
        <w:spacing w:after="0"/>
        <w:jc w:val="both"/>
        <w:rPr>
          <w:rFonts w:ascii="Times New Roman" w:eastAsia="Times New Roman" w:hAnsi="Times New Roman"/>
          <w:sz w:val="28"/>
          <w:szCs w:val="28"/>
          <w:lang w:eastAsia="ru-RU"/>
        </w:rPr>
      </w:pPr>
    </w:p>
    <w:p w:rsidR="00146562" w:rsidRPr="00146562" w:rsidRDefault="00146562" w:rsidP="00146562">
      <w:pPr>
        <w:spacing w:after="0"/>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Количество объектов бытового обслуживания, ед.</w:t>
      </w:r>
    </w:p>
    <w:p w:rsidR="004E132D" w:rsidRPr="00D04828" w:rsidRDefault="004E132D" w:rsidP="00D04828">
      <w:pPr>
        <w:tabs>
          <w:tab w:val="left" w:pos="933"/>
        </w:tabs>
        <w:jc w:val="center"/>
        <w:rPr>
          <w:rFonts w:ascii="Times New Roman" w:hAnsi="Times New Roman" w:cs="Times New Roman"/>
          <w:i/>
          <w:sz w:val="24"/>
          <w:szCs w:val="24"/>
        </w:rPr>
      </w:pPr>
      <w:r>
        <w:rPr>
          <w:rFonts w:ascii="Times New Roman" w:hAnsi="Times New Roman"/>
          <w:noProof/>
          <w:sz w:val="26"/>
          <w:szCs w:val="26"/>
          <w:lang w:eastAsia="ru-RU"/>
        </w:rPr>
        <w:drawing>
          <wp:inline distT="0" distB="0" distL="0" distR="0">
            <wp:extent cx="5948045" cy="3327400"/>
            <wp:effectExtent l="0" t="0" r="0" b="0"/>
            <wp:docPr id="28"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D04828">
        <w:rPr>
          <w:rFonts w:ascii="Times New Roman" w:hAnsi="Times New Roman" w:cs="Times New Roman"/>
          <w:i/>
          <w:sz w:val="24"/>
          <w:szCs w:val="24"/>
        </w:rPr>
        <w:t>Рисунок 15</w:t>
      </w:r>
    </w:p>
    <w:p w:rsidR="004E132D" w:rsidRPr="00D04828" w:rsidRDefault="004E132D" w:rsidP="004E132D">
      <w:pPr>
        <w:spacing w:after="0"/>
        <w:jc w:val="both"/>
        <w:rPr>
          <w:rFonts w:ascii="Times New Roman" w:hAnsi="Times New Roman"/>
          <w:sz w:val="28"/>
          <w:szCs w:val="28"/>
        </w:rPr>
      </w:pPr>
      <w:r w:rsidRPr="00D04828">
        <w:rPr>
          <w:rFonts w:ascii="Times New Roman" w:hAnsi="Times New Roman"/>
          <w:sz w:val="28"/>
          <w:szCs w:val="28"/>
        </w:rPr>
        <w:t xml:space="preserve">        За 2015 год населению во всех секторах реализации было оказано </w:t>
      </w:r>
      <w:r w:rsidRPr="00D04828">
        <w:rPr>
          <w:rFonts w:ascii="Times New Roman" w:hAnsi="Times New Roman"/>
          <w:i/>
          <w:sz w:val="28"/>
          <w:szCs w:val="28"/>
        </w:rPr>
        <w:t>платных услуг</w:t>
      </w:r>
      <w:r w:rsidRPr="00D04828">
        <w:rPr>
          <w:rFonts w:ascii="Times New Roman" w:hAnsi="Times New Roman"/>
          <w:i/>
          <w:iCs/>
          <w:sz w:val="28"/>
          <w:szCs w:val="28"/>
        </w:rPr>
        <w:t xml:space="preserve"> </w:t>
      </w:r>
      <w:r w:rsidRPr="00D04828">
        <w:rPr>
          <w:rFonts w:ascii="Times New Roman" w:hAnsi="Times New Roman"/>
          <w:iCs/>
          <w:sz w:val="28"/>
          <w:szCs w:val="28"/>
        </w:rPr>
        <w:t>на</w:t>
      </w:r>
      <w:r w:rsidRPr="00D04828">
        <w:rPr>
          <w:rFonts w:ascii="Times New Roman" w:hAnsi="Times New Roman"/>
          <w:sz w:val="28"/>
          <w:szCs w:val="28"/>
        </w:rPr>
        <w:t xml:space="preserve"> сумму 647 млн. рублей, в сопоставимой оценке к 2014 году снижение объемов платных услуг произошло на 0,8%. </w:t>
      </w:r>
    </w:p>
    <w:p w:rsidR="004E132D" w:rsidRPr="00D04828" w:rsidRDefault="004E132D" w:rsidP="004E132D">
      <w:pPr>
        <w:spacing w:after="0" w:line="240" w:lineRule="auto"/>
        <w:ind w:firstLine="567"/>
        <w:jc w:val="both"/>
        <w:rPr>
          <w:rFonts w:ascii="Times New Roman" w:hAnsi="Times New Roman"/>
          <w:sz w:val="28"/>
          <w:szCs w:val="28"/>
        </w:rPr>
      </w:pPr>
      <w:r w:rsidRPr="00D04828">
        <w:rPr>
          <w:rFonts w:ascii="Times New Roman" w:hAnsi="Times New Roman"/>
          <w:sz w:val="28"/>
          <w:szCs w:val="28"/>
        </w:rPr>
        <w:t xml:space="preserve">Потребление платных услуг каждым жителем </w:t>
      </w:r>
      <w:r w:rsidR="00D04828" w:rsidRPr="00D04828">
        <w:rPr>
          <w:rFonts w:ascii="Times New Roman" w:hAnsi="Times New Roman"/>
          <w:sz w:val="28"/>
          <w:szCs w:val="28"/>
        </w:rPr>
        <w:t>городского округа</w:t>
      </w:r>
      <w:r w:rsidRPr="00D04828">
        <w:rPr>
          <w:rFonts w:ascii="Times New Roman" w:hAnsi="Times New Roman"/>
          <w:sz w:val="28"/>
          <w:szCs w:val="28"/>
        </w:rPr>
        <w:t xml:space="preserve"> в ценовом выражении увеличилось на 7,9% к прошлому году и составило  56579 рублей. Это второй показатель по области после г. Южно-Сахалинск (207736 рублей).</w:t>
      </w:r>
    </w:p>
    <w:p w:rsidR="004E132D" w:rsidRPr="00D04828" w:rsidRDefault="004E132D" w:rsidP="004E132D">
      <w:pPr>
        <w:spacing w:after="0" w:line="240" w:lineRule="auto"/>
        <w:ind w:firstLine="567"/>
        <w:jc w:val="both"/>
        <w:rPr>
          <w:rFonts w:ascii="Times New Roman" w:hAnsi="Times New Roman"/>
          <w:sz w:val="28"/>
          <w:szCs w:val="28"/>
        </w:rPr>
      </w:pPr>
      <w:r w:rsidRPr="00D04828">
        <w:rPr>
          <w:rFonts w:ascii="Times New Roman" w:hAnsi="Times New Roman"/>
          <w:sz w:val="28"/>
          <w:szCs w:val="28"/>
        </w:rPr>
        <w:t xml:space="preserve"> Самыми востребованными в структуре рынка платных услуг остаются услуги обязательного характера: жилищно-коммунальные, услуги пассажирского транспорта и связи.</w:t>
      </w:r>
    </w:p>
    <w:p w:rsidR="004E132D" w:rsidRPr="00D04828" w:rsidRDefault="004E132D" w:rsidP="004E132D">
      <w:pPr>
        <w:spacing w:after="0" w:line="240" w:lineRule="auto"/>
        <w:ind w:firstLine="567"/>
        <w:jc w:val="both"/>
        <w:rPr>
          <w:rFonts w:ascii="Times New Roman" w:hAnsi="Times New Roman"/>
          <w:sz w:val="28"/>
          <w:szCs w:val="28"/>
        </w:rPr>
      </w:pPr>
      <w:r w:rsidRPr="00D04828">
        <w:rPr>
          <w:rFonts w:ascii="Times New Roman" w:hAnsi="Times New Roman"/>
          <w:sz w:val="28"/>
          <w:szCs w:val="28"/>
        </w:rPr>
        <w:t xml:space="preserve">В течение года жителям оказано бытовых услуг на сумму 77,5 млн. рублей, что в сопоставимых ценах к показателю 2014 года составляет 98,2%. В пересчете на одного жителя потребление бытовых услуг за 2015 год увеличилось и составило 6781 руб., увеличение в сравнении с прошлым годом - на 13,9%. Количество занятых в сфере бытовых услуг составляет 127 человек. </w:t>
      </w:r>
    </w:p>
    <w:p w:rsidR="004E132D" w:rsidRPr="00D04828" w:rsidRDefault="004E132D" w:rsidP="004E132D">
      <w:pPr>
        <w:spacing w:after="0" w:line="240" w:lineRule="auto"/>
        <w:ind w:firstLine="567"/>
        <w:jc w:val="both"/>
        <w:rPr>
          <w:rFonts w:ascii="Times New Roman" w:hAnsi="Times New Roman"/>
          <w:sz w:val="28"/>
          <w:szCs w:val="28"/>
        </w:rPr>
      </w:pPr>
      <w:r w:rsidRPr="00D04828">
        <w:rPr>
          <w:rFonts w:ascii="Times New Roman" w:hAnsi="Times New Roman"/>
          <w:sz w:val="28"/>
          <w:szCs w:val="28"/>
        </w:rPr>
        <w:t>Рост мобилизации платежей в</w:t>
      </w:r>
      <w:r w:rsidR="00D04828" w:rsidRPr="00D04828">
        <w:rPr>
          <w:rFonts w:ascii="Times New Roman" w:hAnsi="Times New Roman"/>
          <w:sz w:val="28"/>
          <w:szCs w:val="28"/>
        </w:rPr>
        <w:t xml:space="preserve"> местный </w:t>
      </w:r>
      <w:r w:rsidRPr="00D04828">
        <w:rPr>
          <w:rFonts w:ascii="Times New Roman" w:hAnsi="Times New Roman"/>
          <w:sz w:val="28"/>
          <w:szCs w:val="28"/>
        </w:rPr>
        <w:t xml:space="preserve"> бюджет по бытовым услугам увеличился в 1,8 раз, что говорит о том, что в целом, ситуация в сфере платных услуг на территории городского округа остается стабильной. Платежеспособность населения способствует росту показателей, современному развитию и  здоровой конкуренции в  данной сфере.</w:t>
      </w:r>
    </w:p>
    <w:p w:rsidR="004E132D" w:rsidRPr="00D04828" w:rsidRDefault="004E132D" w:rsidP="004E132D">
      <w:pPr>
        <w:spacing w:after="0" w:line="240" w:lineRule="auto"/>
        <w:jc w:val="both"/>
        <w:rPr>
          <w:rFonts w:eastAsia="Times New Roman" w:cs="Arial CYR"/>
          <w:sz w:val="28"/>
          <w:szCs w:val="28"/>
          <w:lang w:eastAsia="ru-RU"/>
        </w:rPr>
      </w:pPr>
      <w:r w:rsidRPr="00D04828">
        <w:rPr>
          <w:rFonts w:ascii="Times New Roman" w:eastAsia="Times New Roman" w:hAnsi="Times New Roman"/>
          <w:sz w:val="28"/>
          <w:szCs w:val="28"/>
          <w:lang w:eastAsia="ru-RU"/>
        </w:rPr>
        <w:lastRenderedPageBreak/>
        <w:t xml:space="preserve">       </w:t>
      </w:r>
      <w:r w:rsidR="00D04828" w:rsidRPr="00D04828">
        <w:rPr>
          <w:rFonts w:ascii="Times New Roman" w:eastAsia="Times New Roman" w:hAnsi="Times New Roman"/>
          <w:i/>
          <w:sz w:val="28"/>
          <w:szCs w:val="28"/>
          <w:lang w:eastAsia="ru-RU"/>
        </w:rPr>
        <w:t>Г</w:t>
      </w:r>
      <w:r w:rsidRPr="00D04828">
        <w:rPr>
          <w:rFonts w:ascii="Times New Roman" w:eastAsia="Times New Roman" w:hAnsi="Times New Roman"/>
          <w:i/>
          <w:sz w:val="28"/>
          <w:szCs w:val="28"/>
          <w:lang w:eastAsia="ru-RU"/>
        </w:rPr>
        <w:t>остиничное хозяйство</w:t>
      </w:r>
      <w:r w:rsidRPr="00D04828">
        <w:rPr>
          <w:rFonts w:ascii="Times New Roman" w:eastAsia="Times New Roman" w:hAnsi="Times New Roman"/>
          <w:sz w:val="28"/>
          <w:szCs w:val="28"/>
          <w:lang w:eastAsia="ru-RU"/>
        </w:rPr>
        <w:t xml:space="preserve"> насчитывает 3 субъекта, из них 2 индивидуальных предпринимателя и 1 юрлицо (количество номеров всего - 48, койко-мест - 66). Количество занятых в этой сфере бизнеса составляет 20 человек. В 2015 году перестало функционировать предприятие ООО «Дагинские минеральные воды» (20 номеров на 60 койко-мест)</w:t>
      </w:r>
      <w:r w:rsidRPr="00D04828">
        <w:rPr>
          <w:rFonts w:eastAsia="Times New Roman" w:cs="Arial CYR"/>
          <w:sz w:val="28"/>
          <w:szCs w:val="28"/>
          <w:lang w:eastAsia="ru-RU"/>
        </w:rPr>
        <w:t>.</w:t>
      </w:r>
    </w:p>
    <w:p w:rsidR="004E132D" w:rsidRPr="00D04828" w:rsidRDefault="004E132D" w:rsidP="004E132D">
      <w:pPr>
        <w:spacing w:after="0" w:line="240" w:lineRule="auto"/>
        <w:jc w:val="both"/>
        <w:rPr>
          <w:rFonts w:ascii="Times New Roman" w:hAnsi="Times New Roman"/>
          <w:sz w:val="28"/>
          <w:szCs w:val="28"/>
        </w:rPr>
      </w:pPr>
      <w:r w:rsidRPr="00D04828">
        <w:rPr>
          <w:rFonts w:ascii="Times New Roman" w:hAnsi="Times New Roman"/>
          <w:sz w:val="28"/>
          <w:szCs w:val="28"/>
        </w:rPr>
        <w:t xml:space="preserve">       Мобилизация платежей в </w:t>
      </w:r>
      <w:r w:rsidR="00D04828" w:rsidRPr="00D04828">
        <w:rPr>
          <w:rFonts w:ascii="Times New Roman" w:hAnsi="Times New Roman"/>
          <w:sz w:val="28"/>
          <w:szCs w:val="28"/>
        </w:rPr>
        <w:t>местный бюджет</w:t>
      </w:r>
      <w:r w:rsidRPr="00D04828">
        <w:rPr>
          <w:rFonts w:ascii="Times New Roman" w:hAnsi="Times New Roman"/>
          <w:sz w:val="28"/>
          <w:szCs w:val="28"/>
        </w:rPr>
        <w:t xml:space="preserve"> по виду экономической деятельности «деятельность гостиниц и ресторанов» превысила показатели 2014 года в 1,6 раз.</w:t>
      </w:r>
    </w:p>
    <w:p w:rsidR="004E132D" w:rsidRPr="00D04828" w:rsidRDefault="004E132D" w:rsidP="004E132D">
      <w:pPr>
        <w:spacing w:after="0" w:line="240" w:lineRule="auto"/>
        <w:jc w:val="both"/>
        <w:rPr>
          <w:sz w:val="28"/>
          <w:szCs w:val="28"/>
        </w:rPr>
      </w:pPr>
    </w:p>
    <w:p w:rsidR="005A3DFA" w:rsidRDefault="005A3DFA" w:rsidP="00D04828">
      <w:pPr>
        <w:ind w:firstLine="567"/>
        <w:jc w:val="both"/>
        <w:rPr>
          <w:rFonts w:ascii="Times New Roman" w:hAnsi="Times New Roman" w:cs="Times New Roman"/>
          <w:b/>
          <w:sz w:val="28"/>
          <w:szCs w:val="28"/>
        </w:rPr>
      </w:pPr>
    </w:p>
    <w:p w:rsidR="00D04828" w:rsidRPr="00D04828" w:rsidRDefault="00D04828" w:rsidP="00D04828">
      <w:pPr>
        <w:ind w:firstLine="567"/>
        <w:jc w:val="both"/>
        <w:rPr>
          <w:rFonts w:ascii="Times New Roman" w:hAnsi="Times New Roman" w:cs="Times New Roman"/>
          <w:b/>
          <w:sz w:val="28"/>
          <w:szCs w:val="28"/>
        </w:rPr>
      </w:pPr>
      <w:r w:rsidRPr="00D04828">
        <w:rPr>
          <w:rFonts w:ascii="Times New Roman" w:hAnsi="Times New Roman" w:cs="Times New Roman"/>
          <w:b/>
          <w:sz w:val="28"/>
          <w:szCs w:val="28"/>
        </w:rPr>
        <w:t xml:space="preserve">Жилищно-коммунальное хозяйство </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sz w:val="28"/>
          <w:szCs w:val="28"/>
        </w:rPr>
        <w:t>По состоянию на 1 января 2016 года</w:t>
      </w:r>
      <w:r w:rsidRPr="00D04828">
        <w:rPr>
          <w:color w:val="FF0000"/>
          <w:sz w:val="28"/>
          <w:szCs w:val="28"/>
        </w:rPr>
        <w:t xml:space="preserve"> </w:t>
      </w:r>
      <w:r w:rsidRPr="00D04828">
        <w:rPr>
          <w:sz w:val="28"/>
          <w:szCs w:val="28"/>
        </w:rPr>
        <w:t xml:space="preserve">сфера  жилищно-коммунального хозяйства  в муниципальном образовании была представлена </w:t>
      </w:r>
      <w:r w:rsidRPr="00D04828">
        <w:rPr>
          <w:color w:val="000000"/>
          <w:sz w:val="28"/>
          <w:szCs w:val="28"/>
        </w:rPr>
        <w:t>9-ю   компаниями (</w:t>
      </w:r>
      <w:r w:rsidRPr="00D04828">
        <w:rPr>
          <w:i/>
          <w:color w:val="000000"/>
          <w:sz w:val="28"/>
          <w:szCs w:val="28"/>
        </w:rPr>
        <w:t>ОАО «Ногликская газовая электростанция», ООАО «Сахоблгаз» -   участок №6, ООО «Газпром межрайгаз Дальний Восток Сахалинской области», МУП «Водоканал», МУП «Управляющая организация Ноглики», ООО «Жилсервис» и три ТСЖ</w:t>
      </w:r>
      <w:r w:rsidRPr="00D04828">
        <w:rPr>
          <w:color w:val="000000"/>
          <w:sz w:val="28"/>
          <w:szCs w:val="28"/>
        </w:rPr>
        <w:t>), оказывающих услуги в данной сфере, 2 из которых являются муниципальными.</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 xml:space="preserve">В 2015 году объем доходов сферы ЖКХ составил 439,0 млн.рублей (89,2% к уровню 2014 г.), затраты на производство жилищно-коммунальных услуг сложились в размере 607,8 млн. рублей (101,6% к уровню 2015 г.). </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Предприятиям в сфере ЖКХ за счет средств областного и местного бюджетов произведено финансирование недополученных доходов и убытков на сумму 144,3 млн. рублей (факт 2014 года – 110,8 млн. млн. рублей).</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По оценке сальдированный финансовый результат (убыток) предприятий отрасли составит 23,9 млн. рублей.</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В 2015 году задолженность всех потребителей перед муниципальными предприятиями за оказанные жилищно-коммунальные услуги снизилась на 8,2 процентов и составила 166,0 млн. рублей.</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В структуре задолженности более 69 процентов приходится на долю населения.</w:t>
      </w:r>
    </w:p>
    <w:p w:rsidR="00D04828" w:rsidRPr="00D04828" w:rsidRDefault="00D04828" w:rsidP="00D04828">
      <w:pPr>
        <w:pStyle w:val="a9"/>
        <w:spacing w:before="0" w:beforeAutospacing="0" w:after="0" w:afterAutospacing="0"/>
        <w:ind w:firstLine="567"/>
        <w:jc w:val="both"/>
        <w:rPr>
          <w:color w:val="000000"/>
          <w:sz w:val="28"/>
          <w:szCs w:val="28"/>
        </w:rPr>
      </w:pPr>
      <w:r w:rsidRPr="00D04828">
        <w:rPr>
          <w:color w:val="000000"/>
          <w:sz w:val="28"/>
          <w:szCs w:val="28"/>
        </w:rPr>
        <w:t>Собираемость платежей населения на 1 января 2016 года составила 94,6 процентов (93,9 процента уровень 2014 г.).</w:t>
      </w:r>
    </w:p>
    <w:p w:rsidR="00D04828" w:rsidRPr="00D04828" w:rsidRDefault="00D04828" w:rsidP="00D04828">
      <w:pPr>
        <w:pStyle w:val="a9"/>
        <w:spacing w:before="0" w:beforeAutospacing="0" w:after="0" w:afterAutospacing="0"/>
        <w:ind w:firstLine="567"/>
        <w:jc w:val="both"/>
        <w:rPr>
          <w:sz w:val="28"/>
          <w:szCs w:val="28"/>
        </w:rPr>
      </w:pPr>
    </w:p>
    <w:p w:rsidR="00D04828" w:rsidRPr="005C6ED4" w:rsidRDefault="00D04828" w:rsidP="00D04828">
      <w:pPr>
        <w:pStyle w:val="a9"/>
        <w:spacing w:before="0" w:beforeAutospacing="0" w:after="0" w:afterAutospacing="0"/>
        <w:ind w:firstLine="567"/>
        <w:jc w:val="both"/>
        <w:rPr>
          <w:sz w:val="28"/>
          <w:szCs w:val="28"/>
        </w:rPr>
      </w:pPr>
    </w:p>
    <w:p w:rsidR="005A3DFA" w:rsidRDefault="005A3DFA" w:rsidP="00D04828">
      <w:pPr>
        <w:ind w:firstLine="708"/>
        <w:jc w:val="center"/>
        <w:rPr>
          <w:b/>
          <w:sz w:val="28"/>
          <w:szCs w:val="28"/>
        </w:rPr>
      </w:pPr>
    </w:p>
    <w:p w:rsidR="005A3DFA" w:rsidRDefault="005A3DFA" w:rsidP="00146562">
      <w:pPr>
        <w:rPr>
          <w:b/>
          <w:sz w:val="28"/>
          <w:szCs w:val="28"/>
        </w:rPr>
      </w:pPr>
    </w:p>
    <w:p w:rsidR="00146562" w:rsidRDefault="00146562" w:rsidP="00146562">
      <w:pPr>
        <w:rPr>
          <w:b/>
          <w:sz w:val="28"/>
          <w:szCs w:val="28"/>
        </w:rPr>
      </w:pPr>
    </w:p>
    <w:p w:rsidR="005A3DFA" w:rsidRDefault="005A3DFA" w:rsidP="00D04828">
      <w:pPr>
        <w:ind w:firstLine="708"/>
        <w:jc w:val="center"/>
        <w:rPr>
          <w:b/>
          <w:sz w:val="28"/>
          <w:szCs w:val="28"/>
        </w:rPr>
      </w:pPr>
    </w:p>
    <w:p w:rsidR="00D04828" w:rsidRPr="005A3DFA" w:rsidRDefault="00D04828" w:rsidP="005A3DFA">
      <w:pPr>
        <w:spacing w:after="0"/>
        <w:ind w:firstLine="709"/>
        <w:jc w:val="center"/>
        <w:rPr>
          <w:rFonts w:ascii="Times New Roman" w:hAnsi="Times New Roman" w:cs="Times New Roman"/>
          <w:b/>
          <w:sz w:val="26"/>
          <w:szCs w:val="26"/>
        </w:rPr>
      </w:pPr>
      <w:r w:rsidRPr="005A3DFA">
        <w:rPr>
          <w:rFonts w:ascii="Times New Roman" w:hAnsi="Times New Roman" w:cs="Times New Roman"/>
          <w:b/>
          <w:sz w:val="26"/>
          <w:szCs w:val="26"/>
        </w:rPr>
        <w:lastRenderedPageBreak/>
        <w:t xml:space="preserve">Структура задолженности потребителей за услуги ЖКХ  </w:t>
      </w:r>
    </w:p>
    <w:p w:rsidR="00D04828" w:rsidRPr="005A3DFA" w:rsidRDefault="00D04828" w:rsidP="005A3DFA">
      <w:pPr>
        <w:spacing w:after="0"/>
        <w:ind w:firstLine="709"/>
        <w:jc w:val="center"/>
        <w:rPr>
          <w:rFonts w:ascii="Times New Roman" w:hAnsi="Times New Roman" w:cs="Times New Roman"/>
          <w:b/>
          <w:sz w:val="26"/>
          <w:szCs w:val="26"/>
        </w:rPr>
      </w:pPr>
      <w:r w:rsidRPr="005A3DFA">
        <w:rPr>
          <w:rFonts w:ascii="Times New Roman" w:hAnsi="Times New Roman" w:cs="Times New Roman"/>
          <w:b/>
          <w:sz w:val="26"/>
          <w:szCs w:val="26"/>
        </w:rPr>
        <w:t>(млн.рублей)</w:t>
      </w:r>
    </w:p>
    <w:p w:rsidR="00D04828" w:rsidRDefault="00D04828" w:rsidP="00D04828">
      <w:pPr>
        <w:jc w:val="both"/>
        <w:rPr>
          <w:sz w:val="26"/>
          <w:szCs w:val="26"/>
        </w:rPr>
      </w:pPr>
      <w:r>
        <w:rPr>
          <w:b/>
          <w:noProof/>
          <w:lang w:eastAsia="ru-RU"/>
        </w:rPr>
        <w:drawing>
          <wp:inline distT="0" distB="0" distL="0" distR="0">
            <wp:extent cx="4754245" cy="3086100"/>
            <wp:effectExtent l="0" t="0" r="8255" b="0"/>
            <wp:docPr id="33" name="Объект 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04828" w:rsidRPr="005A3DFA" w:rsidRDefault="005A3DFA" w:rsidP="005A3DFA">
      <w:pPr>
        <w:pStyle w:val="a9"/>
        <w:spacing w:before="0" w:beforeAutospacing="0" w:after="0" w:afterAutospacing="0"/>
        <w:ind w:firstLine="567"/>
        <w:jc w:val="center"/>
        <w:rPr>
          <w:i/>
        </w:rPr>
      </w:pPr>
      <w:r w:rsidRPr="005A3DFA">
        <w:rPr>
          <w:i/>
        </w:rPr>
        <w:t>Рисунок16</w:t>
      </w:r>
    </w:p>
    <w:p w:rsidR="005A3DFA" w:rsidRPr="004639B1" w:rsidRDefault="005A3DFA" w:rsidP="00D04828">
      <w:pPr>
        <w:pStyle w:val="a9"/>
        <w:spacing w:before="0" w:beforeAutospacing="0" w:after="0" w:afterAutospacing="0"/>
        <w:ind w:firstLine="567"/>
        <w:jc w:val="both"/>
        <w:rPr>
          <w:color w:val="FF0000"/>
          <w:sz w:val="28"/>
          <w:szCs w:val="28"/>
        </w:rPr>
      </w:pPr>
    </w:p>
    <w:p w:rsidR="00D04828" w:rsidRPr="00C36AC3" w:rsidRDefault="00D04828" w:rsidP="00D04828">
      <w:pPr>
        <w:pStyle w:val="a9"/>
        <w:spacing w:before="0" w:beforeAutospacing="0" w:after="0" w:afterAutospacing="0"/>
        <w:ind w:firstLine="567"/>
        <w:jc w:val="both"/>
        <w:rPr>
          <w:sz w:val="28"/>
          <w:szCs w:val="28"/>
        </w:rPr>
      </w:pPr>
      <w:r w:rsidRPr="00C36AC3">
        <w:rPr>
          <w:sz w:val="28"/>
          <w:szCs w:val="28"/>
        </w:rPr>
        <w:t xml:space="preserve">Из общей суммы задолженности за услуги ЖКХ доля просроченной задолженности составила 71,3 процента, снижение к уровню 2014 года </w:t>
      </w:r>
      <w:r>
        <w:rPr>
          <w:sz w:val="28"/>
          <w:szCs w:val="28"/>
        </w:rPr>
        <w:t xml:space="preserve">на </w:t>
      </w:r>
      <w:r w:rsidRPr="00C36AC3">
        <w:rPr>
          <w:sz w:val="28"/>
          <w:szCs w:val="28"/>
        </w:rPr>
        <w:t>1,4 процента.</w:t>
      </w:r>
    </w:p>
    <w:p w:rsidR="00D04828" w:rsidRDefault="00D04828" w:rsidP="00D04828">
      <w:pPr>
        <w:pStyle w:val="a9"/>
        <w:spacing w:before="0" w:beforeAutospacing="0" w:after="0" w:afterAutospacing="0"/>
        <w:ind w:firstLine="567"/>
        <w:jc w:val="both"/>
        <w:rPr>
          <w:sz w:val="28"/>
          <w:szCs w:val="28"/>
        </w:rPr>
      </w:pPr>
    </w:p>
    <w:p w:rsidR="005A3DFA" w:rsidRPr="005C6ED4" w:rsidRDefault="005A3DFA" w:rsidP="00D04828">
      <w:pPr>
        <w:pStyle w:val="a9"/>
        <w:spacing w:before="0" w:beforeAutospacing="0" w:after="0" w:afterAutospacing="0"/>
        <w:ind w:firstLine="567"/>
        <w:jc w:val="both"/>
        <w:rPr>
          <w:sz w:val="28"/>
          <w:szCs w:val="28"/>
        </w:rPr>
      </w:pPr>
    </w:p>
    <w:p w:rsidR="00D04828" w:rsidRPr="005A3DFA" w:rsidRDefault="00D04828" w:rsidP="00D04828">
      <w:pPr>
        <w:pStyle w:val="a9"/>
        <w:spacing w:before="0" w:beforeAutospacing="0" w:after="0" w:afterAutospacing="0"/>
        <w:ind w:firstLine="567"/>
        <w:jc w:val="center"/>
        <w:rPr>
          <w:b/>
          <w:sz w:val="26"/>
          <w:szCs w:val="26"/>
        </w:rPr>
      </w:pPr>
      <w:r w:rsidRPr="005A3DFA">
        <w:rPr>
          <w:b/>
          <w:sz w:val="26"/>
          <w:szCs w:val="26"/>
        </w:rPr>
        <w:t xml:space="preserve">Объем просроченной задолженности в общей сумме задолженности за услуги ЖКХ всеми потребителями (млн.руб.) </w:t>
      </w:r>
    </w:p>
    <w:p w:rsidR="00D04828" w:rsidRPr="005C6ED4" w:rsidRDefault="00D04828" w:rsidP="00D04828">
      <w:pPr>
        <w:pStyle w:val="a9"/>
        <w:spacing w:before="0" w:beforeAutospacing="0" w:after="0" w:afterAutospacing="0"/>
        <w:ind w:firstLine="567"/>
        <w:jc w:val="both"/>
        <w:rPr>
          <w:sz w:val="28"/>
          <w:szCs w:val="28"/>
        </w:rPr>
      </w:pPr>
    </w:p>
    <w:p w:rsidR="005A3DFA" w:rsidRPr="005A3DFA" w:rsidRDefault="00D04828" w:rsidP="005A3DFA">
      <w:pPr>
        <w:ind w:firstLine="708"/>
        <w:jc w:val="center"/>
        <w:rPr>
          <w:rFonts w:ascii="Times New Roman" w:hAnsi="Times New Roman" w:cs="Times New Roman"/>
          <w:i/>
          <w:sz w:val="24"/>
          <w:szCs w:val="24"/>
        </w:rPr>
      </w:pPr>
      <w:r>
        <w:rPr>
          <w:noProof/>
          <w:color w:val="FF0000"/>
          <w:sz w:val="28"/>
          <w:szCs w:val="28"/>
          <w:lang w:eastAsia="ru-RU"/>
        </w:rPr>
        <w:drawing>
          <wp:inline distT="0" distB="0" distL="0" distR="0">
            <wp:extent cx="5723255" cy="2091055"/>
            <wp:effectExtent l="0" t="0" r="0" b="0"/>
            <wp:docPr id="34" name="Объект 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5A3DFA">
        <w:rPr>
          <w:rFonts w:ascii="Times New Roman" w:hAnsi="Times New Roman" w:cs="Times New Roman"/>
          <w:i/>
          <w:sz w:val="24"/>
          <w:szCs w:val="24"/>
        </w:rPr>
        <w:t>Р</w:t>
      </w:r>
      <w:r w:rsidR="005A3DFA" w:rsidRPr="005A3DFA">
        <w:rPr>
          <w:rFonts w:ascii="Times New Roman" w:hAnsi="Times New Roman" w:cs="Times New Roman"/>
          <w:i/>
          <w:sz w:val="24"/>
          <w:szCs w:val="24"/>
        </w:rPr>
        <w:t>исунок 17</w:t>
      </w:r>
    </w:p>
    <w:p w:rsidR="00D04828" w:rsidRPr="005A3DFA" w:rsidRDefault="00D04828"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 xml:space="preserve">В рамках реализации муниципальных программ </w:t>
      </w:r>
      <w:r w:rsidRPr="005A3DFA">
        <w:rPr>
          <w:rFonts w:ascii="Times New Roman" w:hAnsi="Times New Roman" w:cs="Times New Roman"/>
          <w:i/>
          <w:sz w:val="28"/>
          <w:szCs w:val="28"/>
        </w:rPr>
        <w:t xml:space="preserve">в сфере ЖКХ, дорожного хозяйства и благоустройства населенных пунктов </w:t>
      </w:r>
      <w:r w:rsidRPr="005A3DFA">
        <w:rPr>
          <w:rFonts w:ascii="Times New Roman" w:hAnsi="Times New Roman" w:cs="Times New Roman"/>
          <w:sz w:val="28"/>
          <w:szCs w:val="28"/>
        </w:rPr>
        <w:t>реализованы следующие основные мероприятия:</w:t>
      </w:r>
    </w:p>
    <w:p w:rsidR="00D04828" w:rsidRPr="005A3DFA" w:rsidRDefault="00D04828" w:rsidP="005A3DFA">
      <w:pPr>
        <w:pStyle w:val="a9"/>
        <w:spacing w:before="0" w:beforeAutospacing="0" w:after="0" w:afterAutospacing="0"/>
        <w:ind w:firstLine="567"/>
        <w:jc w:val="both"/>
        <w:rPr>
          <w:sz w:val="28"/>
          <w:szCs w:val="28"/>
        </w:rPr>
      </w:pPr>
      <w:r w:rsidRPr="005A3DFA">
        <w:rPr>
          <w:sz w:val="28"/>
          <w:szCs w:val="28"/>
        </w:rPr>
        <w:t>В</w:t>
      </w:r>
      <w:r w:rsidRPr="005A3DFA">
        <w:rPr>
          <w:b/>
          <w:sz w:val="28"/>
          <w:szCs w:val="28"/>
        </w:rPr>
        <w:t xml:space="preserve"> </w:t>
      </w:r>
      <w:r w:rsidRPr="005A3DFA">
        <w:rPr>
          <w:b/>
          <w:i/>
          <w:sz w:val="28"/>
          <w:szCs w:val="28"/>
        </w:rPr>
        <w:t>сфере жилищного хозяйства</w:t>
      </w:r>
      <w:r w:rsidRPr="005A3DFA">
        <w:rPr>
          <w:b/>
          <w:sz w:val="28"/>
          <w:szCs w:val="28"/>
        </w:rPr>
        <w:t xml:space="preserve">   </w:t>
      </w:r>
      <w:r w:rsidRPr="005A3DFA">
        <w:rPr>
          <w:sz w:val="28"/>
          <w:szCs w:val="28"/>
        </w:rPr>
        <w:t>выполнены работы:</w:t>
      </w:r>
    </w:p>
    <w:p w:rsidR="00D04828" w:rsidRPr="005A3DFA" w:rsidRDefault="00D04828" w:rsidP="005A3DFA">
      <w:pPr>
        <w:pStyle w:val="a9"/>
        <w:spacing w:before="0" w:beforeAutospacing="0" w:after="0" w:afterAutospacing="0"/>
        <w:jc w:val="both"/>
        <w:rPr>
          <w:color w:val="000000"/>
          <w:sz w:val="28"/>
          <w:szCs w:val="28"/>
        </w:rPr>
      </w:pPr>
      <w:r w:rsidRPr="005A3DFA">
        <w:rPr>
          <w:color w:val="000000"/>
          <w:sz w:val="28"/>
          <w:szCs w:val="28"/>
        </w:rPr>
        <w:lastRenderedPageBreak/>
        <w:t xml:space="preserve">  </w:t>
      </w:r>
      <w:r w:rsidRPr="005A3DFA">
        <w:rPr>
          <w:b/>
          <w:i/>
          <w:color w:val="000000"/>
          <w:sz w:val="28"/>
          <w:szCs w:val="28"/>
        </w:rPr>
        <w:t xml:space="preserve">- </w:t>
      </w:r>
      <w:r w:rsidRPr="005A3DFA">
        <w:rPr>
          <w:color w:val="000000"/>
          <w:sz w:val="28"/>
          <w:szCs w:val="28"/>
        </w:rPr>
        <w:t>выполнены работы по капитальному ремонту многоквартирных домов -  произведен ремонт кровли на 10-ти домах и выполнен ремонт одного муниципального жилого дома;</w:t>
      </w:r>
    </w:p>
    <w:p w:rsidR="00D04828" w:rsidRPr="005A3DFA" w:rsidRDefault="00D04828" w:rsidP="005A3DFA">
      <w:pPr>
        <w:spacing w:after="0"/>
        <w:ind w:firstLine="567"/>
        <w:jc w:val="both"/>
        <w:rPr>
          <w:rFonts w:ascii="Times New Roman" w:hAnsi="Times New Roman" w:cs="Times New Roman"/>
          <w:sz w:val="28"/>
          <w:szCs w:val="28"/>
        </w:rPr>
      </w:pPr>
      <w:r w:rsidRPr="005A3DFA">
        <w:rPr>
          <w:rFonts w:ascii="Times New Roman" w:hAnsi="Times New Roman" w:cs="Times New Roman"/>
          <w:color w:val="000000"/>
          <w:sz w:val="28"/>
          <w:szCs w:val="28"/>
        </w:rPr>
        <w:t>-  с</w:t>
      </w:r>
      <w:r w:rsidRPr="005A3DFA">
        <w:rPr>
          <w:rFonts w:ascii="Times New Roman" w:hAnsi="Times New Roman" w:cs="Times New Roman"/>
          <w:sz w:val="28"/>
          <w:szCs w:val="28"/>
        </w:rPr>
        <w:t xml:space="preserve">несено строение по адресу пгт. Ноглики, ул. Советская 44. </w:t>
      </w:r>
    </w:p>
    <w:p w:rsidR="00D04828" w:rsidRPr="005A3DFA" w:rsidRDefault="00D04828" w:rsidP="005A3DFA">
      <w:pPr>
        <w:pStyle w:val="a9"/>
        <w:spacing w:before="0" w:beforeAutospacing="0" w:after="0" w:afterAutospacing="0"/>
        <w:ind w:firstLine="567"/>
        <w:jc w:val="both"/>
        <w:rPr>
          <w:color w:val="FF0000"/>
          <w:sz w:val="28"/>
          <w:szCs w:val="28"/>
        </w:rPr>
      </w:pPr>
      <w:r w:rsidRPr="005A3DFA">
        <w:rPr>
          <w:sz w:val="28"/>
          <w:szCs w:val="28"/>
        </w:rPr>
        <w:t>В</w:t>
      </w:r>
      <w:r w:rsidRPr="005A3DFA">
        <w:rPr>
          <w:b/>
          <w:sz w:val="28"/>
          <w:szCs w:val="28"/>
        </w:rPr>
        <w:t xml:space="preserve"> </w:t>
      </w:r>
      <w:r w:rsidRPr="005A3DFA">
        <w:rPr>
          <w:b/>
          <w:i/>
          <w:sz w:val="28"/>
          <w:szCs w:val="28"/>
        </w:rPr>
        <w:t>сфере коммунального хозяйства</w:t>
      </w:r>
      <w:r w:rsidRPr="005A3DFA">
        <w:rPr>
          <w:color w:val="FF0000"/>
          <w:sz w:val="28"/>
          <w:szCs w:val="28"/>
        </w:rPr>
        <w:t xml:space="preserve">: </w:t>
      </w:r>
    </w:p>
    <w:p w:rsidR="00D04828" w:rsidRPr="00571013" w:rsidRDefault="00D04828" w:rsidP="00D04828">
      <w:pPr>
        <w:pStyle w:val="a9"/>
        <w:spacing w:before="0" w:beforeAutospacing="0" w:after="0" w:afterAutospacing="0"/>
        <w:ind w:firstLine="567"/>
        <w:jc w:val="both"/>
        <w:rPr>
          <w:color w:val="000000"/>
          <w:sz w:val="28"/>
          <w:szCs w:val="28"/>
        </w:rPr>
      </w:pPr>
      <w:r>
        <w:rPr>
          <w:color w:val="000000"/>
          <w:sz w:val="28"/>
          <w:szCs w:val="28"/>
        </w:rPr>
        <w:t>1. п</w:t>
      </w:r>
      <w:r w:rsidRPr="00571013">
        <w:rPr>
          <w:color w:val="000000"/>
          <w:sz w:val="28"/>
          <w:szCs w:val="28"/>
        </w:rPr>
        <w:t>родолжены работы по объекту «</w:t>
      </w:r>
      <w:r w:rsidRPr="004C0D07">
        <w:rPr>
          <w:color w:val="000099"/>
          <w:sz w:val="28"/>
          <w:szCs w:val="28"/>
        </w:rPr>
        <w:t>Строительство водозабора на Северо – Уйглекутском месторождении в п. Ноглики»</w:t>
      </w:r>
      <w:r w:rsidRPr="00571013">
        <w:rPr>
          <w:color w:val="000000"/>
          <w:sz w:val="28"/>
          <w:szCs w:val="28"/>
        </w:rPr>
        <w:t xml:space="preserve"> – реконструкция главного корпуса станции обезжелезивания, реконструкция хлораторной, ремонт башни для хранения воды, реконструкция резервуаров чистой воды 2×1000 м³, ремонт контрольно-пускового пункта, устройство ограждения</w:t>
      </w:r>
      <w:r>
        <w:rPr>
          <w:color w:val="000000"/>
          <w:sz w:val="28"/>
          <w:szCs w:val="28"/>
        </w:rPr>
        <w:t>;</w:t>
      </w:r>
      <w:r w:rsidRPr="00571013">
        <w:rPr>
          <w:color w:val="000000"/>
          <w:sz w:val="28"/>
          <w:szCs w:val="28"/>
        </w:rPr>
        <w:t xml:space="preserve"> </w:t>
      </w:r>
    </w:p>
    <w:p w:rsidR="00D04828" w:rsidRPr="00571013" w:rsidRDefault="00D04828" w:rsidP="00D04828">
      <w:pPr>
        <w:pStyle w:val="a9"/>
        <w:spacing w:before="0" w:beforeAutospacing="0" w:after="0" w:afterAutospacing="0"/>
        <w:ind w:firstLine="567"/>
        <w:jc w:val="both"/>
        <w:rPr>
          <w:color w:val="000000"/>
          <w:sz w:val="28"/>
          <w:szCs w:val="28"/>
        </w:rPr>
      </w:pPr>
      <w:r>
        <w:rPr>
          <w:color w:val="000000"/>
          <w:sz w:val="28"/>
          <w:szCs w:val="28"/>
        </w:rPr>
        <w:t>2. н</w:t>
      </w:r>
      <w:r w:rsidRPr="00571013">
        <w:rPr>
          <w:color w:val="000000"/>
          <w:sz w:val="28"/>
          <w:szCs w:val="28"/>
        </w:rPr>
        <w:t xml:space="preserve">ачата работа по реализации мероприятия </w:t>
      </w:r>
      <w:r w:rsidRPr="004C0D07">
        <w:rPr>
          <w:color w:val="000099"/>
          <w:sz w:val="28"/>
          <w:szCs w:val="28"/>
        </w:rPr>
        <w:t>«Водозабор в с.Вал»</w:t>
      </w:r>
      <w:r w:rsidRPr="00571013">
        <w:rPr>
          <w:color w:val="000000"/>
          <w:sz w:val="28"/>
          <w:szCs w:val="28"/>
        </w:rPr>
        <w:t>, а именно: выполнены работы по проведению инженерных изысканий под строительство объекта</w:t>
      </w:r>
      <w:r>
        <w:rPr>
          <w:color w:val="000000"/>
          <w:sz w:val="28"/>
          <w:szCs w:val="28"/>
        </w:rPr>
        <w:t>;</w:t>
      </w:r>
      <w:r w:rsidRPr="00571013">
        <w:rPr>
          <w:color w:val="000000"/>
          <w:sz w:val="28"/>
          <w:szCs w:val="28"/>
        </w:rPr>
        <w:t xml:space="preserve"> </w:t>
      </w:r>
    </w:p>
    <w:p w:rsidR="00D04828" w:rsidRPr="00571013" w:rsidRDefault="00D04828" w:rsidP="00D04828">
      <w:pPr>
        <w:pStyle w:val="a9"/>
        <w:spacing w:before="0" w:beforeAutospacing="0" w:after="0" w:afterAutospacing="0"/>
        <w:ind w:firstLine="567"/>
        <w:jc w:val="both"/>
        <w:rPr>
          <w:color w:val="000000"/>
          <w:sz w:val="28"/>
          <w:szCs w:val="28"/>
        </w:rPr>
      </w:pPr>
      <w:r>
        <w:rPr>
          <w:color w:val="000000"/>
          <w:sz w:val="28"/>
          <w:szCs w:val="28"/>
        </w:rPr>
        <w:t>3 п</w:t>
      </w:r>
      <w:r w:rsidRPr="00571013">
        <w:rPr>
          <w:color w:val="000000"/>
          <w:sz w:val="28"/>
          <w:szCs w:val="28"/>
        </w:rPr>
        <w:t xml:space="preserve">родолжена работа по разработке проектно-сметной документации по объекту </w:t>
      </w:r>
      <w:r w:rsidRPr="004C0D07">
        <w:rPr>
          <w:color w:val="000099"/>
          <w:sz w:val="28"/>
          <w:szCs w:val="28"/>
        </w:rPr>
        <w:t>«Водозабор в с. Ныш»,</w:t>
      </w:r>
      <w:r w:rsidRPr="00571013">
        <w:rPr>
          <w:color w:val="000000"/>
          <w:sz w:val="28"/>
          <w:szCs w:val="28"/>
        </w:rPr>
        <w:t xml:space="preserve"> а именно, ве</w:t>
      </w:r>
      <w:r>
        <w:rPr>
          <w:color w:val="000000"/>
          <w:sz w:val="28"/>
          <w:szCs w:val="28"/>
        </w:rPr>
        <w:t>лась</w:t>
      </w:r>
      <w:r w:rsidRPr="00571013">
        <w:rPr>
          <w:color w:val="000000"/>
          <w:sz w:val="28"/>
          <w:szCs w:val="28"/>
        </w:rPr>
        <w:t xml:space="preserve"> работа по корректировке ПСД</w:t>
      </w:r>
      <w:r>
        <w:rPr>
          <w:color w:val="000000"/>
          <w:sz w:val="28"/>
          <w:szCs w:val="28"/>
        </w:rPr>
        <w:t xml:space="preserve">, </w:t>
      </w:r>
      <w:r w:rsidRPr="00571013">
        <w:rPr>
          <w:color w:val="000000"/>
          <w:sz w:val="28"/>
          <w:szCs w:val="28"/>
        </w:rPr>
        <w:t xml:space="preserve">проведены дополнительные инженерные изыскания, получены технические условия на телефонизацию данного объекта, получено санитарно-эпидемиологическое заключение химического состава воды. </w:t>
      </w:r>
    </w:p>
    <w:p w:rsidR="00D04828" w:rsidRPr="00571013" w:rsidRDefault="00D04828" w:rsidP="00D04828">
      <w:pPr>
        <w:pStyle w:val="a9"/>
        <w:spacing w:before="0" w:beforeAutospacing="0" w:after="0" w:afterAutospacing="0"/>
        <w:ind w:firstLine="567"/>
        <w:jc w:val="both"/>
        <w:rPr>
          <w:color w:val="000000"/>
          <w:sz w:val="28"/>
          <w:szCs w:val="28"/>
        </w:rPr>
      </w:pPr>
      <w:r>
        <w:rPr>
          <w:color w:val="000000"/>
          <w:sz w:val="28"/>
          <w:szCs w:val="28"/>
        </w:rPr>
        <w:t>4. п</w:t>
      </w:r>
      <w:r w:rsidRPr="00571013">
        <w:rPr>
          <w:color w:val="000000"/>
          <w:sz w:val="28"/>
          <w:szCs w:val="28"/>
        </w:rPr>
        <w:t xml:space="preserve">родолжена работа по разработке проектно-сметной документации </w:t>
      </w:r>
      <w:r w:rsidRPr="004C0D07">
        <w:rPr>
          <w:color w:val="000099"/>
          <w:sz w:val="28"/>
          <w:szCs w:val="28"/>
        </w:rPr>
        <w:t>«Строительство банно-прачечного комплекса в пгт. Ноглики».</w:t>
      </w:r>
      <w:r w:rsidRPr="00571013">
        <w:rPr>
          <w:color w:val="000000"/>
          <w:sz w:val="28"/>
          <w:szCs w:val="28"/>
        </w:rPr>
        <w:t xml:space="preserve"> </w:t>
      </w:r>
      <w:r>
        <w:rPr>
          <w:color w:val="000000"/>
          <w:sz w:val="28"/>
          <w:szCs w:val="28"/>
        </w:rPr>
        <w:t>П</w:t>
      </w:r>
      <w:r w:rsidRPr="00571013">
        <w:rPr>
          <w:color w:val="000000"/>
          <w:sz w:val="28"/>
          <w:szCs w:val="28"/>
        </w:rPr>
        <w:t>роектная документация по объекту</w:t>
      </w:r>
      <w:r>
        <w:rPr>
          <w:color w:val="000000"/>
          <w:sz w:val="28"/>
          <w:szCs w:val="28"/>
        </w:rPr>
        <w:t xml:space="preserve"> </w:t>
      </w:r>
      <w:r w:rsidRPr="00571013">
        <w:rPr>
          <w:color w:val="000000"/>
          <w:sz w:val="28"/>
          <w:szCs w:val="28"/>
        </w:rPr>
        <w:t>передана в ОАУ «УГЭ Сахалинской области» для проведения государственной экспертизы</w:t>
      </w:r>
      <w:r>
        <w:rPr>
          <w:color w:val="000000"/>
          <w:sz w:val="28"/>
          <w:szCs w:val="28"/>
        </w:rPr>
        <w:t>;</w:t>
      </w:r>
    </w:p>
    <w:p w:rsidR="00D04828" w:rsidRPr="00571013" w:rsidRDefault="00D04828" w:rsidP="00D04828">
      <w:pPr>
        <w:pStyle w:val="a9"/>
        <w:spacing w:before="0" w:beforeAutospacing="0" w:after="0" w:afterAutospacing="0"/>
        <w:ind w:firstLine="567"/>
        <w:jc w:val="both"/>
        <w:rPr>
          <w:color w:val="000000"/>
          <w:sz w:val="28"/>
          <w:szCs w:val="28"/>
        </w:rPr>
      </w:pPr>
      <w:r w:rsidRPr="00571013">
        <w:rPr>
          <w:color w:val="000000"/>
          <w:sz w:val="28"/>
          <w:szCs w:val="28"/>
        </w:rPr>
        <w:t>5</w:t>
      </w:r>
      <w:r>
        <w:rPr>
          <w:color w:val="000000"/>
          <w:sz w:val="28"/>
          <w:szCs w:val="28"/>
        </w:rPr>
        <w:t>.</w:t>
      </w:r>
      <w:r w:rsidRPr="00571013">
        <w:rPr>
          <w:color w:val="000000"/>
          <w:sz w:val="28"/>
          <w:szCs w:val="28"/>
        </w:rPr>
        <w:t xml:space="preserve"> выполнен капитальный ремонт:</w:t>
      </w:r>
    </w:p>
    <w:p w:rsidR="00D04828" w:rsidRPr="00571013" w:rsidRDefault="00D04828" w:rsidP="00D04828">
      <w:pPr>
        <w:pStyle w:val="a9"/>
        <w:spacing w:before="0" w:beforeAutospacing="0" w:after="0" w:afterAutospacing="0"/>
        <w:jc w:val="both"/>
        <w:rPr>
          <w:color w:val="000000"/>
          <w:sz w:val="28"/>
          <w:szCs w:val="28"/>
        </w:rPr>
      </w:pPr>
      <w:r w:rsidRPr="00571013">
        <w:rPr>
          <w:color w:val="000000"/>
          <w:sz w:val="28"/>
          <w:szCs w:val="28"/>
        </w:rPr>
        <w:t>-  тепловых сетей  - протяженностью  2,4 км в двухтрубном исчислении,</w:t>
      </w:r>
    </w:p>
    <w:p w:rsidR="00D04828" w:rsidRPr="00571013" w:rsidRDefault="00D04828" w:rsidP="00D04828">
      <w:pPr>
        <w:pStyle w:val="a9"/>
        <w:spacing w:before="0" w:beforeAutospacing="0" w:after="0" w:afterAutospacing="0"/>
        <w:jc w:val="both"/>
        <w:rPr>
          <w:color w:val="000000"/>
          <w:sz w:val="28"/>
          <w:szCs w:val="28"/>
        </w:rPr>
      </w:pPr>
      <w:r w:rsidRPr="00571013">
        <w:rPr>
          <w:color w:val="000000"/>
          <w:sz w:val="28"/>
          <w:szCs w:val="28"/>
        </w:rPr>
        <w:t>-  линий электропередач -  ЛЭП -4,32 км.</w:t>
      </w:r>
    </w:p>
    <w:p w:rsidR="00D04828" w:rsidRPr="00571013" w:rsidRDefault="00D04828" w:rsidP="00D04828">
      <w:pPr>
        <w:pStyle w:val="a9"/>
        <w:spacing w:before="0" w:beforeAutospacing="0" w:after="0" w:afterAutospacing="0"/>
        <w:jc w:val="both"/>
        <w:rPr>
          <w:color w:val="000000"/>
          <w:sz w:val="28"/>
          <w:szCs w:val="28"/>
        </w:rPr>
      </w:pPr>
      <w:r w:rsidRPr="00571013">
        <w:rPr>
          <w:color w:val="000000"/>
          <w:sz w:val="28"/>
          <w:szCs w:val="28"/>
        </w:rPr>
        <w:t xml:space="preserve">- сетей водоснабжения – 11,5 км. </w:t>
      </w:r>
    </w:p>
    <w:p w:rsidR="00D04828" w:rsidRPr="00571013" w:rsidRDefault="00D04828" w:rsidP="00D04828">
      <w:pPr>
        <w:pStyle w:val="a9"/>
        <w:spacing w:before="0" w:beforeAutospacing="0" w:after="0" w:afterAutospacing="0"/>
        <w:jc w:val="both"/>
        <w:rPr>
          <w:color w:val="000000"/>
          <w:sz w:val="28"/>
          <w:szCs w:val="28"/>
        </w:rPr>
      </w:pPr>
      <w:r w:rsidRPr="00571013">
        <w:rPr>
          <w:color w:val="000000"/>
          <w:sz w:val="28"/>
          <w:szCs w:val="28"/>
        </w:rPr>
        <w:t>- сетей  водоотведения - 0,5 км.</w:t>
      </w:r>
    </w:p>
    <w:p w:rsidR="00D04828" w:rsidRPr="00571013" w:rsidRDefault="00D04828" w:rsidP="00D04828">
      <w:pPr>
        <w:pStyle w:val="a9"/>
        <w:spacing w:before="0" w:beforeAutospacing="0" w:after="0" w:afterAutospacing="0"/>
        <w:jc w:val="both"/>
        <w:rPr>
          <w:color w:val="000000"/>
          <w:sz w:val="28"/>
          <w:szCs w:val="28"/>
        </w:rPr>
      </w:pPr>
      <w:r w:rsidRPr="00571013">
        <w:rPr>
          <w:color w:val="000000"/>
          <w:sz w:val="28"/>
          <w:szCs w:val="28"/>
        </w:rPr>
        <w:t>- трансформаторных подстанций - 5 трансформаторных подстанций.</w:t>
      </w:r>
    </w:p>
    <w:p w:rsidR="00D04828" w:rsidRPr="00571013" w:rsidRDefault="00D04828" w:rsidP="00D04828">
      <w:pPr>
        <w:pStyle w:val="a9"/>
        <w:spacing w:before="0" w:beforeAutospacing="0" w:after="0" w:afterAutospacing="0"/>
        <w:ind w:firstLine="567"/>
        <w:jc w:val="both"/>
        <w:rPr>
          <w:color w:val="000000"/>
          <w:sz w:val="28"/>
          <w:szCs w:val="28"/>
        </w:rPr>
      </w:pPr>
      <w:r w:rsidRPr="00571013">
        <w:rPr>
          <w:color w:val="000000"/>
          <w:sz w:val="28"/>
          <w:szCs w:val="28"/>
        </w:rPr>
        <w:t>6</w:t>
      </w:r>
      <w:r>
        <w:rPr>
          <w:color w:val="000000"/>
          <w:sz w:val="28"/>
          <w:szCs w:val="28"/>
        </w:rPr>
        <w:t>.</w:t>
      </w:r>
      <w:r w:rsidRPr="00571013">
        <w:rPr>
          <w:color w:val="000000"/>
          <w:sz w:val="28"/>
          <w:szCs w:val="28"/>
        </w:rPr>
        <w:t xml:space="preserve"> была продолжена работа  по объекту </w:t>
      </w:r>
      <w:r w:rsidRPr="004C0D07">
        <w:rPr>
          <w:color w:val="000099"/>
          <w:sz w:val="28"/>
          <w:szCs w:val="28"/>
        </w:rPr>
        <w:t>«Техническое  перевооружение системы теплоснабжения котельной N 1 в пгт. Ноглики»</w:t>
      </w:r>
      <w:r w:rsidRPr="00571013">
        <w:rPr>
          <w:color w:val="000000"/>
          <w:sz w:val="28"/>
          <w:szCs w:val="28"/>
        </w:rPr>
        <w:t xml:space="preserve"> работы завершены, котельная работает в режиме пуско-наладки. </w:t>
      </w:r>
    </w:p>
    <w:p w:rsidR="00D04828" w:rsidRPr="004C0D07" w:rsidRDefault="00D04828" w:rsidP="00D04828">
      <w:pPr>
        <w:pStyle w:val="a9"/>
        <w:spacing w:before="0" w:beforeAutospacing="0" w:after="0" w:afterAutospacing="0"/>
        <w:ind w:firstLine="567"/>
        <w:jc w:val="both"/>
        <w:rPr>
          <w:color w:val="000099"/>
        </w:rPr>
      </w:pPr>
      <w:r w:rsidRPr="00571013">
        <w:rPr>
          <w:color w:val="000000"/>
          <w:sz w:val="28"/>
          <w:szCs w:val="28"/>
        </w:rPr>
        <w:t>7</w:t>
      </w:r>
      <w:r>
        <w:rPr>
          <w:color w:val="000000"/>
          <w:sz w:val="28"/>
          <w:szCs w:val="28"/>
        </w:rPr>
        <w:t>.</w:t>
      </w:r>
      <w:r w:rsidRPr="00571013">
        <w:rPr>
          <w:color w:val="000000"/>
          <w:sz w:val="28"/>
          <w:szCs w:val="28"/>
        </w:rPr>
        <w:t xml:space="preserve"> завершены работы и введен в эксплуатацию объект </w:t>
      </w:r>
      <w:r w:rsidRPr="004C0D07">
        <w:rPr>
          <w:color w:val="000099"/>
          <w:sz w:val="28"/>
          <w:szCs w:val="28"/>
        </w:rPr>
        <w:t>"Модернизация ТП 35/6 "Промбаза".</w:t>
      </w:r>
      <w:r w:rsidRPr="004C0D07">
        <w:rPr>
          <w:color w:val="000099"/>
        </w:rPr>
        <w:t xml:space="preserve"> </w:t>
      </w:r>
    </w:p>
    <w:p w:rsidR="00D04828" w:rsidRPr="005A3DFA" w:rsidRDefault="00D04828" w:rsidP="005A3DFA">
      <w:pPr>
        <w:spacing w:after="0"/>
        <w:ind w:firstLine="720"/>
        <w:jc w:val="both"/>
        <w:rPr>
          <w:rFonts w:ascii="Times New Roman" w:hAnsi="Times New Roman" w:cs="Times New Roman"/>
          <w:b/>
          <w:i/>
          <w:sz w:val="28"/>
          <w:szCs w:val="28"/>
        </w:rPr>
      </w:pPr>
      <w:r w:rsidRPr="005A3DFA">
        <w:rPr>
          <w:rFonts w:ascii="Times New Roman" w:hAnsi="Times New Roman" w:cs="Times New Roman"/>
          <w:sz w:val="28"/>
          <w:szCs w:val="28"/>
        </w:rPr>
        <w:t xml:space="preserve">В </w:t>
      </w:r>
      <w:r w:rsidRPr="005A3DFA">
        <w:rPr>
          <w:rFonts w:ascii="Times New Roman" w:hAnsi="Times New Roman" w:cs="Times New Roman"/>
          <w:b/>
          <w:i/>
          <w:sz w:val="28"/>
          <w:szCs w:val="28"/>
        </w:rPr>
        <w:t>сфере газификации:</w:t>
      </w:r>
    </w:p>
    <w:p w:rsidR="00D04828" w:rsidRPr="005B4E02" w:rsidRDefault="00D04828" w:rsidP="005A3DFA">
      <w:pPr>
        <w:pStyle w:val="a9"/>
        <w:spacing w:before="0" w:beforeAutospacing="0" w:after="0" w:afterAutospacing="0"/>
        <w:ind w:firstLine="567"/>
        <w:jc w:val="both"/>
        <w:rPr>
          <w:color w:val="000000"/>
          <w:sz w:val="28"/>
          <w:szCs w:val="28"/>
        </w:rPr>
      </w:pPr>
      <w:r w:rsidRPr="005B4E02">
        <w:rPr>
          <w:color w:val="000000"/>
          <w:sz w:val="28"/>
          <w:szCs w:val="28"/>
        </w:rPr>
        <w:t xml:space="preserve">1. В ходе проведения работ по </w:t>
      </w:r>
      <w:r w:rsidRPr="004C0D07">
        <w:rPr>
          <w:color w:val="000099"/>
          <w:sz w:val="28"/>
          <w:szCs w:val="28"/>
        </w:rPr>
        <w:t>газификации многоквартирных домов и жилых домов индивидуального жилищного фонда</w:t>
      </w:r>
      <w:r w:rsidRPr="005B4E02">
        <w:rPr>
          <w:color w:val="000000"/>
          <w:sz w:val="28"/>
          <w:szCs w:val="28"/>
        </w:rPr>
        <w:t xml:space="preserve"> жителям муниципального образования была оказана единовременная материальная помощь на частичную компенсацию затрат по выполненным и оплаченным гражданами работам</w:t>
      </w:r>
      <w:r>
        <w:rPr>
          <w:color w:val="000000"/>
          <w:sz w:val="28"/>
          <w:szCs w:val="28"/>
        </w:rPr>
        <w:t>.</w:t>
      </w:r>
      <w:r w:rsidRPr="005B4E02">
        <w:rPr>
          <w:color w:val="000000"/>
          <w:sz w:val="28"/>
          <w:szCs w:val="28"/>
        </w:rPr>
        <w:t xml:space="preserve"> </w:t>
      </w:r>
    </w:p>
    <w:p w:rsidR="00D04828" w:rsidRPr="005B4E02" w:rsidRDefault="00D04828" w:rsidP="00D04828">
      <w:pPr>
        <w:pStyle w:val="a9"/>
        <w:spacing w:before="0" w:beforeAutospacing="0" w:after="0" w:afterAutospacing="0"/>
        <w:ind w:firstLine="567"/>
        <w:jc w:val="both"/>
        <w:rPr>
          <w:color w:val="000000"/>
          <w:sz w:val="28"/>
          <w:szCs w:val="28"/>
        </w:rPr>
      </w:pPr>
      <w:r w:rsidRPr="005B4E02">
        <w:rPr>
          <w:color w:val="000000"/>
          <w:sz w:val="28"/>
          <w:szCs w:val="28"/>
        </w:rPr>
        <w:t>2. Начаты работы по установке индивидуальных приборов учета газа в 981 квартирах в пгт. Ноглики.</w:t>
      </w:r>
    </w:p>
    <w:p w:rsidR="00D04828" w:rsidRPr="005B4E02" w:rsidRDefault="00D04828" w:rsidP="00D04828">
      <w:pPr>
        <w:pStyle w:val="a9"/>
        <w:spacing w:before="0" w:beforeAutospacing="0" w:after="0" w:afterAutospacing="0"/>
        <w:ind w:firstLine="567"/>
        <w:jc w:val="both"/>
        <w:rPr>
          <w:sz w:val="28"/>
          <w:szCs w:val="28"/>
        </w:rPr>
      </w:pPr>
      <w:r w:rsidRPr="005B4E02">
        <w:rPr>
          <w:sz w:val="28"/>
          <w:szCs w:val="28"/>
        </w:rPr>
        <w:t>3. В рамках подготовки муниципального жилья к приему газа в с.Ныш подготовлено  68 домовладений.</w:t>
      </w:r>
    </w:p>
    <w:p w:rsidR="00D04828" w:rsidRPr="005A3DFA" w:rsidRDefault="00D04828" w:rsidP="005A3DFA">
      <w:pPr>
        <w:spacing w:after="0"/>
        <w:ind w:firstLine="720"/>
        <w:jc w:val="both"/>
        <w:rPr>
          <w:rFonts w:ascii="Times New Roman" w:hAnsi="Times New Roman" w:cs="Times New Roman"/>
          <w:b/>
          <w:i/>
          <w:sz w:val="28"/>
          <w:szCs w:val="28"/>
        </w:rPr>
      </w:pPr>
      <w:r w:rsidRPr="005A3DFA">
        <w:rPr>
          <w:rFonts w:ascii="Times New Roman" w:hAnsi="Times New Roman" w:cs="Times New Roman"/>
          <w:sz w:val="28"/>
          <w:szCs w:val="28"/>
        </w:rPr>
        <w:t xml:space="preserve">В сфере </w:t>
      </w:r>
      <w:r w:rsidRPr="005A3DFA">
        <w:rPr>
          <w:rFonts w:ascii="Times New Roman" w:hAnsi="Times New Roman" w:cs="Times New Roman"/>
          <w:b/>
          <w:i/>
          <w:sz w:val="28"/>
          <w:szCs w:val="28"/>
        </w:rPr>
        <w:t>«дорожное хозяйство»:</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color w:val="FF0000"/>
          <w:sz w:val="28"/>
          <w:szCs w:val="28"/>
        </w:rPr>
        <w:lastRenderedPageBreak/>
        <w:t xml:space="preserve">  </w:t>
      </w:r>
      <w:r w:rsidRPr="005A3DFA">
        <w:rPr>
          <w:rFonts w:ascii="Times New Roman" w:hAnsi="Times New Roman" w:cs="Times New Roman"/>
          <w:sz w:val="28"/>
          <w:szCs w:val="28"/>
        </w:rPr>
        <w:t xml:space="preserve">1. Выполнен </w:t>
      </w:r>
      <w:r w:rsidRPr="005A3DFA">
        <w:rPr>
          <w:rFonts w:ascii="Times New Roman" w:hAnsi="Times New Roman" w:cs="Times New Roman"/>
          <w:color w:val="000099"/>
          <w:sz w:val="28"/>
          <w:szCs w:val="28"/>
        </w:rPr>
        <w:t>капитальный ремонт автомобильных дорог местного значения</w:t>
      </w:r>
      <w:r w:rsidRPr="005A3DFA">
        <w:rPr>
          <w:rFonts w:ascii="Times New Roman" w:hAnsi="Times New Roman" w:cs="Times New Roman"/>
          <w:sz w:val="28"/>
          <w:szCs w:val="28"/>
        </w:rPr>
        <w:t xml:space="preserve"> (включая расходы на инженерные изыскания, разработку проектной документации и проведение необходимых экспертиз, авторский надзор, строительный контроль и др.). Проводились работы на следующих улицах и переулках пгт.Ноглики общей протяженностью 4,5 км: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xml:space="preserve">- пер. Школьный,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xml:space="preserve">- ул. Репина,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xml:space="preserve">- ул. Первомайская,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xml:space="preserve">- ул. Советская,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ул. Мостовая- ул. Пограничная.</w:t>
      </w:r>
    </w:p>
    <w:p w:rsidR="00D04828" w:rsidRPr="005A3DFA" w:rsidRDefault="00D04828" w:rsidP="005A3DFA">
      <w:pPr>
        <w:pStyle w:val="a9"/>
        <w:spacing w:before="0" w:beforeAutospacing="0" w:after="0" w:afterAutospacing="0"/>
        <w:ind w:firstLine="720"/>
        <w:jc w:val="both"/>
        <w:rPr>
          <w:sz w:val="28"/>
          <w:szCs w:val="28"/>
        </w:rPr>
      </w:pPr>
      <w:r w:rsidRPr="005A3DFA">
        <w:rPr>
          <w:sz w:val="28"/>
          <w:szCs w:val="28"/>
        </w:rPr>
        <w:t xml:space="preserve">2.   Велись работы по  </w:t>
      </w:r>
      <w:r w:rsidRPr="005A3DFA">
        <w:rPr>
          <w:color w:val="000099"/>
          <w:sz w:val="28"/>
          <w:szCs w:val="28"/>
        </w:rPr>
        <w:t>капитальному ремонту и ремонту  дворовых территорий и проездов к ним:</w:t>
      </w:r>
      <w:r w:rsidRPr="005A3DFA">
        <w:rPr>
          <w:sz w:val="28"/>
          <w:szCs w:val="28"/>
        </w:rPr>
        <w:t xml:space="preserve"> </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выполнен капитальный ремонт двух дворовых территорий в микрорайоне №1 пгт. Ноглики (асфальтобетонное покрытие – 7,9 тыс. м2, озеленение 5,2 тыс. м2, тротуары и хозяйственные площадки 2,7 м2, установка 75 светильников),</w:t>
      </w:r>
    </w:p>
    <w:p w:rsidR="00D04828" w:rsidRPr="005A3DFA" w:rsidRDefault="00D04828" w:rsidP="005A3DFA">
      <w:pPr>
        <w:spacing w:after="0"/>
        <w:ind w:firstLine="720"/>
        <w:jc w:val="both"/>
        <w:rPr>
          <w:rFonts w:ascii="Times New Roman" w:hAnsi="Times New Roman" w:cs="Times New Roman"/>
          <w:sz w:val="28"/>
          <w:szCs w:val="28"/>
        </w:rPr>
      </w:pPr>
      <w:r w:rsidRPr="005A3DFA">
        <w:rPr>
          <w:rFonts w:ascii="Times New Roman" w:hAnsi="Times New Roman" w:cs="Times New Roman"/>
          <w:sz w:val="28"/>
          <w:szCs w:val="28"/>
        </w:rPr>
        <w:t xml:space="preserve">-  приступили к капитальному ремонту дворовых территорий и проездов микрорайона №2 пгт. Ноглики. </w:t>
      </w:r>
    </w:p>
    <w:p w:rsidR="00D04828" w:rsidRPr="005B4E02" w:rsidRDefault="00D04828" w:rsidP="005A3DFA">
      <w:pPr>
        <w:pStyle w:val="a9"/>
        <w:spacing w:before="0" w:beforeAutospacing="0" w:after="0" w:afterAutospacing="0"/>
        <w:ind w:firstLine="720"/>
        <w:jc w:val="both"/>
        <w:rPr>
          <w:color w:val="000000"/>
          <w:sz w:val="28"/>
          <w:szCs w:val="28"/>
        </w:rPr>
      </w:pPr>
      <w:r w:rsidRPr="005A3DFA">
        <w:rPr>
          <w:sz w:val="28"/>
          <w:szCs w:val="28"/>
        </w:rPr>
        <w:t xml:space="preserve">3. За период январь - декабрь выполнены </w:t>
      </w:r>
      <w:r w:rsidRPr="005A3DFA">
        <w:rPr>
          <w:color w:val="000099"/>
          <w:sz w:val="28"/>
          <w:szCs w:val="28"/>
        </w:rPr>
        <w:t>работы по содержанию и ремонту автомобильных дорог местного значения и улично-дор</w:t>
      </w:r>
      <w:r w:rsidRPr="007C0D3C">
        <w:rPr>
          <w:color w:val="000099"/>
          <w:sz w:val="28"/>
          <w:szCs w:val="28"/>
        </w:rPr>
        <w:t>ожной сети</w:t>
      </w:r>
      <w:r>
        <w:rPr>
          <w:color w:val="000099"/>
          <w:sz w:val="28"/>
          <w:szCs w:val="28"/>
        </w:rPr>
        <w:t>.</w:t>
      </w:r>
    </w:p>
    <w:p w:rsidR="00D04828" w:rsidRPr="00192E1D" w:rsidRDefault="00D04828" w:rsidP="00D04828">
      <w:pPr>
        <w:pStyle w:val="a9"/>
        <w:spacing w:before="0" w:beforeAutospacing="0" w:after="0" w:afterAutospacing="0"/>
        <w:ind w:firstLine="567"/>
        <w:jc w:val="both"/>
        <w:rPr>
          <w:color w:val="FF0000"/>
          <w:sz w:val="28"/>
          <w:szCs w:val="28"/>
        </w:rPr>
      </w:pPr>
      <w:r w:rsidRPr="00192E1D">
        <w:rPr>
          <w:sz w:val="28"/>
          <w:szCs w:val="28"/>
        </w:rPr>
        <w:t xml:space="preserve">В сфере </w:t>
      </w:r>
      <w:r w:rsidRPr="00192E1D">
        <w:rPr>
          <w:b/>
          <w:i/>
          <w:sz w:val="28"/>
          <w:szCs w:val="28"/>
        </w:rPr>
        <w:t>«благоустройство»</w:t>
      </w:r>
      <w:r w:rsidRPr="00192E1D">
        <w:rPr>
          <w:color w:val="FF0000"/>
          <w:sz w:val="28"/>
          <w:szCs w:val="28"/>
        </w:rPr>
        <w:t xml:space="preserve"> </w:t>
      </w:r>
    </w:p>
    <w:p w:rsidR="00D04828" w:rsidRPr="007C0D3C" w:rsidRDefault="00D04828" w:rsidP="00D04828">
      <w:pPr>
        <w:pStyle w:val="a9"/>
        <w:spacing w:before="0" w:beforeAutospacing="0" w:after="0" w:afterAutospacing="0"/>
        <w:ind w:firstLine="720"/>
        <w:jc w:val="both"/>
        <w:rPr>
          <w:color w:val="000099"/>
          <w:sz w:val="28"/>
          <w:szCs w:val="28"/>
        </w:rPr>
      </w:pPr>
      <w:r w:rsidRPr="00192E1D">
        <w:rPr>
          <w:sz w:val="28"/>
          <w:szCs w:val="28"/>
        </w:rPr>
        <w:t xml:space="preserve">1. Проведены работы по </w:t>
      </w:r>
      <w:r w:rsidRPr="007C0D3C">
        <w:rPr>
          <w:color w:val="000099"/>
          <w:sz w:val="28"/>
          <w:szCs w:val="28"/>
        </w:rPr>
        <w:t>капитальному ремонту объектов благоустройства   в  пгт. Ноглики:</w:t>
      </w:r>
    </w:p>
    <w:p w:rsidR="00D04828" w:rsidRDefault="00D04828" w:rsidP="00D04828">
      <w:pPr>
        <w:pStyle w:val="a9"/>
        <w:spacing w:before="0" w:beforeAutospacing="0" w:after="0" w:afterAutospacing="0"/>
        <w:ind w:firstLine="720"/>
        <w:jc w:val="both"/>
        <w:rPr>
          <w:sz w:val="28"/>
          <w:szCs w:val="28"/>
        </w:rPr>
      </w:pPr>
      <w:r w:rsidRPr="00192E1D">
        <w:rPr>
          <w:sz w:val="28"/>
          <w:szCs w:val="28"/>
        </w:rPr>
        <w:t xml:space="preserve"> – установлено дополнительное оборудование на детских площадках </w:t>
      </w:r>
      <w:r>
        <w:rPr>
          <w:sz w:val="28"/>
          <w:szCs w:val="28"/>
        </w:rPr>
        <w:t xml:space="preserve">в </w:t>
      </w:r>
      <w:r w:rsidRPr="00192E1D">
        <w:rPr>
          <w:sz w:val="28"/>
          <w:szCs w:val="28"/>
        </w:rPr>
        <w:t>пгт. Ноглики, ул. Депутатская, д. 6</w:t>
      </w:r>
      <w:r>
        <w:rPr>
          <w:sz w:val="28"/>
          <w:szCs w:val="28"/>
        </w:rPr>
        <w:t xml:space="preserve"> и </w:t>
      </w:r>
      <w:r w:rsidRPr="00192E1D">
        <w:rPr>
          <w:sz w:val="28"/>
          <w:szCs w:val="28"/>
        </w:rPr>
        <w:t xml:space="preserve"> ул. Гагарина, д. 1 (к монтажу резинового покрытия приступят 15 июня 2016г.)</w:t>
      </w:r>
      <w:r>
        <w:rPr>
          <w:sz w:val="28"/>
          <w:szCs w:val="28"/>
        </w:rPr>
        <w:t>;</w:t>
      </w:r>
    </w:p>
    <w:p w:rsidR="00D04828" w:rsidRPr="00192E1D" w:rsidRDefault="00D04828" w:rsidP="00D04828">
      <w:pPr>
        <w:pStyle w:val="a9"/>
        <w:spacing w:before="0" w:beforeAutospacing="0" w:after="0" w:afterAutospacing="0"/>
        <w:ind w:firstLine="720"/>
        <w:jc w:val="both"/>
        <w:rPr>
          <w:sz w:val="28"/>
          <w:szCs w:val="28"/>
        </w:rPr>
      </w:pPr>
      <w:r>
        <w:rPr>
          <w:sz w:val="28"/>
          <w:szCs w:val="28"/>
        </w:rPr>
        <w:t xml:space="preserve">- </w:t>
      </w:r>
      <w:r w:rsidRPr="00192E1D">
        <w:rPr>
          <w:sz w:val="28"/>
          <w:szCs w:val="28"/>
        </w:rPr>
        <w:t xml:space="preserve"> устроена спортивная площадка по ул. Советской д. 2 (к монтажу резинового покрытия приступят 15 июня 2016г.).</w:t>
      </w:r>
    </w:p>
    <w:p w:rsidR="00D04828" w:rsidRDefault="00D04828" w:rsidP="00D04828">
      <w:pPr>
        <w:pStyle w:val="a9"/>
        <w:spacing w:before="0" w:beforeAutospacing="0" w:after="0" w:afterAutospacing="0"/>
        <w:ind w:firstLine="720"/>
        <w:jc w:val="both"/>
        <w:rPr>
          <w:sz w:val="28"/>
          <w:szCs w:val="28"/>
        </w:rPr>
      </w:pPr>
      <w:r w:rsidRPr="00192E1D">
        <w:rPr>
          <w:sz w:val="28"/>
          <w:szCs w:val="28"/>
        </w:rPr>
        <w:t>2. Проведены работы по содержанию мест захоронения, содержанию объектов уличного освещения.</w:t>
      </w:r>
      <w:r>
        <w:rPr>
          <w:sz w:val="28"/>
          <w:szCs w:val="28"/>
        </w:rPr>
        <w:t xml:space="preserve"> </w:t>
      </w:r>
    </w:p>
    <w:p w:rsidR="00D04828" w:rsidRPr="00192E1D" w:rsidRDefault="00D04828" w:rsidP="00D04828">
      <w:pPr>
        <w:pStyle w:val="a9"/>
        <w:spacing w:before="0" w:beforeAutospacing="0" w:after="0" w:afterAutospacing="0"/>
        <w:ind w:firstLine="720"/>
        <w:jc w:val="both"/>
        <w:rPr>
          <w:sz w:val="28"/>
          <w:szCs w:val="28"/>
        </w:rPr>
      </w:pPr>
      <w:r w:rsidRPr="00192E1D">
        <w:rPr>
          <w:sz w:val="28"/>
          <w:szCs w:val="28"/>
        </w:rPr>
        <w:t>3. По объекту «Кладбище пгт. Ноглики» выполнены работы по подготовке территории (вырубка леса и кустарника, планировка).</w:t>
      </w:r>
    </w:p>
    <w:p w:rsidR="00D04828" w:rsidRPr="004639B1" w:rsidRDefault="00D04828" w:rsidP="00D04828">
      <w:pPr>
        <w:pStyle w:val="a9"/>
        <w:spacing w:before="0" w:beforeAutospacing="0" w:after="0" w:afterAutospacing="0"/>
        <w:ind w:firstLine="567"/>
        <w:jc w:val="both"/>
        <w:rPr>
          <w:color w:val="FF0000"/>
          <w:sz w:val="28"/>
          <w:szCs w:val="28"/>
        </w:rPr>
      </w:pPr>
      <w:r w:rsidRPr="004639B1">
        <w:rPr>
          <w:color w:val="FF0000"/>
          <w:sz w:val="28"/>
          <w:szCs w:val="28"/>
        </w:rPr>
        <w:t xml:space="preserve"> </w:t>
      </w:r>
    </w:p>
    <w:p w:rsidR="005A3DFA" w:rsidRPr="005A3DFA" w:rsidRDefault="005A3DFA" w:rsidP="005A3DFA">
      <w:pPr>
        <w:spacing w:after="0"/>
        <w:ind w:firstLine="374"/>
        <w:jc w:val="both"/>
        <w:rPr>
          <w:rFonts w:ascii="Times New Roman" w:hAnsi="Times New Roman" w:cs="Times New Roman"/>
          <w:b/>
          <w:sz w:val="28"/>
          <w:szCs w:val="28"/>
        </w:rPr>
      </w:pPr>
      <w:r w:rsidRPr="005A3DFA">
        <w:rPr>
          <w:rFonts w:ascii="Times New Roman" w:hAnsi="Times New Roman" w:cs="Times New Roman"/>
          <w:b/>
          <w:sz w:val="28"/>
          <w:szCs w:val="28"/>
        </w:rPr>
        <w:t>Транспорт</w:t>
      </w:r>
    </w:p>
    <w:p w:rsidR="005A3DFA" w:rsidRPr="005A3DFA" w:rsidRDefault="005A3DFA" w:rsidP="005A3DFA">
      <w:pPr>
        <w:tabs>
          <w:tab w:val="left" w:pos="0"/>
        </w:tabs>
        <w:spacing w:after="0"/>
        <w:ind w:firstLine="374"/>
        <w:jc w:val="both"/>
        <w:rPr>
          <w:rFonts w:ascii="Times New Roman" w:hAnsi="Times New Roman" w:cs="Times New Roman"/>
          <w:sz w:val="28"/>
          <w:szCs w:val="28"/>
        </w:rPr>
      </w:pPr>
      <w:r w:rsidRPr="005A3DFA">
        <w:rPr>
          <w:rFonts w:ascii="Times New Roman" w:hAnsi="Times New Roman" w:cs="Times New Roman"/>
          <w:sz w:val="28"/>
          <w:szCs w:val="28"/>
        </w:rPr>
        <w:t xml:space="preserve">На территории муниципального образования транспортные услуги в 2015 году представлены  железнодорожным, автомобильным и воздушным видами транспорта. </w:t>
      </w:r>
    </w:p>
    <w:p w:rsidR="005A3DFA" w:rsidRPr="005A3DFA" w:rsidRDefault="005A3DFA" w:rsidP="005A3DFA">
      <w:pPr>
        <w:spacing w:after="0"/>
        <w:ind w:firstLine="709"/>
        <w:jc w:val="both"/>
        <w:rPr>
          <w:rFonts w:ascii="Times New Roman" w:hAnsi="Times New Roman" w:cs="Times New Roman"/>
          <w:b/>
          <w:i/>
          <w:sz w:val="28"/>
          <w:szCs w:val="28"/>
        </w:rPr>
      </w:pPr>
      <w:r w:rsidRPr="005A3DFA">
        <w:rPr>
          <w:rFonts w:ascii="Times New Roman" w:hAnsi="Times New Roman" w:cs="Times New Roman"/>
          <w:b/>
          <w:i/>
          <w:sz w:val="28"/>
          <w:szCs w:val="28"/>
        </w:rPr>
        <w:t>Железнодорожный транспорт</w:t>
      </w:r>
    </w:p>
    <w:p w:rsidR="005A3DFA" w:rsidRPr="005A3DFA" w:rsidRDefault="005A3DFA" w:rsidP="005A3DFA">
      <w:pPr>
        <w:keepNext/>
        <w:widowControl w:val="0"/>
        <w:spacing w:after="0"/>
        <w:ind w:firstLine="709"/>
        <w:jc w:val="both"/>
        <w:rPr>
          <w:rFonts w:ascii="Times New Roman" w:hAnsi="Times New Roman" w:cs="Times New Roman"/>
          <w:sz w:val="28"/>
          <w:szCs w:val="28"/>
        </w:rPr>
      </w:pPr>
      <w:r w:rsidRPr="005A3DFA">
        <w:rPr>
          <w:rFonts w:ascii="Times New Roman" w:hAnsi="Times New Roman" w:cs="Times New Roman"/>
          <w:sz w:val="28"/>
          <w:szCs w:val="28"/>
        </w:rPr>
        <w:t xml:space="preserve">Транспортно-экономическую связь городского округа с населенными пунктами Сахалинской области обеспечивает станция Ноглики – структурное подразделение Дальневосточной железной дороги  филиала ОАО </w:t>
      </w:r>
      <w:r w:rsidRPr="005A3DFA">
        <w:rPr>
          <w:rFonts w:ascii="Times New Roman" w:hAnsi="Times New Roman" w:cs="Times New Roman"/>
          <w:sz w:val="28"/>
          <w:szCs w:val="28"/>
        </w:rPr>
        <w:lastRenderedPageBreak/>
        <w:t>«Российские железные дороги».</w:t>
      </w:r>
    </w:p>
    <w:p w:rsidR="005A3DFA" w:rsidRPr="005A3DFA" w:rsidRDefault="005A3DFA" w:rsidP="005A3DFA">
      <w:pPr>
        <w:spacing w:after="0"/>
        <w:ind w:firstLine="708"/>
        <w:jc w:val="both"/>
        <w:rPr>
          <w:rFonts w:ascii="Times New Roman" w:hAnsi="Times New Roman" w:cs="Times New Roman"/>
          <w:b/>
          <w:i/>
          <w:sz w:val="28"/>
          <w:szCs w:val="28"/>
        </w:rPr>
      </w:pPr>
      <w:r w:rsidRPr="005A3DFA">
        <w:rPr>
          <w:rFonts w:ascii="Times New Roman" w:hAnsi="Times New Roman" w:cs="Times New Roman"/>
          <w:b/>
          <w:i/>
          <w:sz w:val="28"/>
          <w:szCs w:val="28"/>
        </w:rPr>
        <w:t>Автомобильный транспорт</w:t>
      </w:r>
    </w:p>
    <w:p w:rsidR="005A3DFA" w:rsidRPr="005A3DFA" w:rsidRDefault="005A3DFA"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В границах городского округа автотранспортные компании  оказывают услуги по перевозке пассажиров и грузов. Пассажирские перевозки осуществляются по регулярным городским, пригородным и междугородным маршрутам, а также  в режиме «такси по вызову».</w:t>
      </w:r>
    </w:p>
    <w:p w:rsidR="005A3DFA" w:rsidRPr="005A3DFA" w:rsidRDefault="005A3DFA"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Ежегодно допуски на муниципальную маршрутную сеть на право осуществления регулярных маршрутных перевозок компании-перевозчики получают по итогам конкурсного отбора. Так в 2015  году по итогам конкурса регулярные пассажирские перевозки осуществляла компания-перевозчик МУП «Управляющая организация Ноглики». Компании в соответствии с  действующим Порядком была предоставлена  субсидия на возмещение убытков, возникших  от  перевозки пассажиров автобусными  маршрутами, в размере 9,2 млн.рублей за счет средств местного бюджета (в 2014 году - 7 млн.рублей)</w:t>
      </w:r>
    </w:p>
    <w:p w:rsidR="005A3DFA" w:rsidRPr="005A3DFA" w:rsidRDefault="005A3DFA"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Как и в предыдущие годы в дачный период 2015 года для неработающих пенсионеров была сохранена льготная перевозка автобусным маршрутом для выполнения сельскохозяйственных работ на приусадебных участках.</w:t>
      </w:r>
    </w:p>
    <w:p w:rsidR="005A3DFA" w:rsidRPr="005A3DFA" w:rsidRDefault="005A3DFA" w:rsidP="005A3DFA">
      <w:pPr>
        <w:spacing w:after="0"/>
        <w:jc w:val="both"/>
        <w:rPr>
          <w:rFonts w:ascii="Times New Roman" w:hAnsi="Times New Roman" w:cs="Times New Roman"/>
          <w:b/>
          <w:i/>
          <w:sz w:val="28"/>
          <w:szCs w:val="28"/>
        </w:rPr>
      </w:pPr>
      <w:r w:rsidRPr="005A3DFA">
        <w:rPr>
          <w:rFonts w:ascii="Times New Roman" w:hAnsi="Times New Roman" w:cs="Times New Roman"/>
          <w:color w:val="FF0000"/>
          <w:sz w:val="28"/>
          <w:szCs w:val="28"/>
        </w:rPr>
        <w:tab/>
      </w:r>
      <w:r w:rsidRPr="005A3DFA">
        <w:rPr>
          <w:rFonts w:ascii="Times New Roman" w:hAnsi="Times New Roman" w:cs="Times New Roman"/>
          <w:b/>
          <w:i/>
          <w:sz w:val="28"/>
          <w:szCs w:val="28"/>
        </w:rPr>
        <w:t>Воздушный транспорт</w:t>
      </w:r>
    </w:p>
    <w:p w:rsidR="005A3DFA" w:rsidRPr="005A3DFA" w:rsidRDefault="005A3DFA"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 xml:space="preserve">Аэропортное и наземное обслуживание воздушных перевозок для авиакомпаний  в городском округе обеспечивает АО «Аэропорт Ноглики» аэропорт класса «Г» (региональный аэропорт). </w:t>
      </w:r>
    </w:p>
    <w:p w:rsidR="005A3DFA" w:rsidRPr="005A3DFA" w:rsidRDefault="005A3DFA" w:rsidP="005A3DFA">
      <w:pPr>
        <w:spacing w:after="0"/>
        <w:ind w:firstLine="708"/>
        <w:jc w:val="both"/>
        <w:rPr>
          <w:rFonts w:ascii="Times New Roman" w:hAnsi="Times New Roman" w:cs="Times New Roman"/>
          <w:sz w:val="28"/>
          <w:szCs w:val="28"/>
        </w:rPr>
      </w:pPr>
      <w:r w:rsidRPr="005A3DFA">
        <w:rPr>
          <w:rFonts w:ascii="Times New Roman" w:hAnsi="Times New Roman" w:cs="Times New Roman"/>
          <w:sz w:val="28"/>
          <w:szCs w:val="28"/>
        </w:rPr>
        <w:t>В 2015 году, как и годом ранее услуги по перевозке пассажиров и грузов воздушным транспортом оказывали семь авиакомпаний («Якутия», «Аврора», «Авиашельф»,</w:t>
      </w:r>
      <w:r w:rsidRPr="005A3DFA">
        <w:rPr>
          <w:rFonts w:ascii="Times New Roman" w:hAnsi="Times New Roman" w:cs="Times New Roman"/>
          <w:color w:val="FF0000"/>
          <w:sz w:val="28"/>
          <w:szCs w:val="28"/>
        </w:rPr>
        <w:t xml:space="preserve">  </w:t>
      </w:r>
      <w:r w:rsidRPr="005A3DFA">
        <w:rPr>
          <w:rFonts w:ascii="Times New Roman" w:hAnsi="Times New Roman" w:cs="Times New Roman"/>
          <w:sz w:val="28"/>
          <w:szCs w:val="28"/>
        </w:rPr>
        <w:t>«Дальнереченск Авиа»,</w:t>
      </w:r>
      <w:r w:rsidRPr="005A3DFA">
        <w:rPr>
          <w:rFonts w:ascii="Times New Roman" w:hAnsi="Times New Roman" w:cs="Times New Roman"/>
          <w:color w:val="FF0000"/>
          <w:sz w:val="28"/>
          <w:szCs w:val="28"/>
        </w:rPr>
        <w:t xml:space="preserve"> </w:t>
      </w:r>
      <w:r w:rsidRPr="005A3DFA">
        <w:rPr>
          <w:rFonts w:ascii="Times New Roman" w:hAnsi="Times New Roman" w:cs="Times New Roman"/>
          <w:sz w:val="28"/>
          <w:szCs w:val="28"/>
        </w:rPr>
        <w:t>«ГазпромАвиа», «Приамурье», «Амур»). Авиаперевозки осуществлялись в режиме чартерных  авиарейсов в пределах ДФО и  центральных регионов России, компанией «Амур»  выполняла регулярные авиарейсы по маршруту Ноглики – Хабаровск – Ноглики.</w:t>
      </w:r>
    </w:p>
    <w:p w:rsidR="004E132D" w:rsidRDefault="004E132D" w:rsidP="005A3DFA">
      <w:pPr>
        <w:spacing w:after="0"/>
        <w:jc w:val="both"/>
        <w:rPr>
          <w:rFonts w:ascii="Times New Roman" w:hAnsi="Times New Roman" w:cs="Times New Roman"/>
          <w:b/>
          <w:sz w:val="28"/>
          <w:szCs w:val="28"/>
        </w:rPr>
      </w:pPr>
    </w:p>
    <w:p w:rsidR="002D342C" w:rsidRDefault="002D342C" w:rsidP="005A3DFA">
      <w:pPr>
        <w:spacing w:after="0"/>
        <w:jc w:val="both"/>
        <w:rPr>
          <w:rFonts w:ascii="Times New Roman" w:hAnsi="Times New Roman" w:cs="Times New Roman"/>
          <w:b/>
          <w:sz w:val="28"/>
          <w:szCs w:val="28"/>
        </w:rPr>
      </w:pPr>
    </w:p>
    <w:p w:rsidR="002D342C" w:rsidRDefault="002D342C" w:rsidP="002D342C">
      <w:pPr>
        <w:spacing w:after="0"/>
        <w:jc w:val="center"/>
        <w:rPr>
          <w:rFonts w:ascii="Times New Roman" w:hAnsi="Times New Roman" w:cs="Times New Roman"/>
          <w:b/>
          <w:sz w:val="28"/>
          <w:szCs w:val="28"/>
        </w:rPr>
      </w:pPr>
      <w:r>
        <w:rPr>
          <w:rFonts w:ascii="Times New Roman" w:hAnsi="Times New Roman" w:cs="Times New Roman"/>
          <w:b/>
          <w:sz w:val="28"/>
          <w:szCs w:val="28"/>
        </w:rPr>
        <w:t>Строительство и инвестиции</w:t>
      </w:r>
    </w:p>
    <w:p w:rsidR="002D342C" w:rsidRPr="002D342C" w:rsidRDefault="002D342C" w:rsidP="002D342C">
      <w:pPr>
        <w:ind w:firstLine="708"/>
        <w:jc w:val="both"/>
        <w:rPr>
          <w:rFonts w:ascii="Times New Roman" w:hAnsi="Times New Roman" w:cs="Times New Roman"/>
          <w:sz w:val="28"/>
          <w:szCs w:val="28"/>
        </w:rPr>
      </w:pPr>
      <w:r w:rsidRPr="002D342C">
        <w:rPr>
          <w:rFonts w:ascii="Times New Roman" w:hAnsi="Times New Roman" w:cs="Times New Roman"/>
          <w:sz w:val="28"/>
          <w:szCs w:val="28"/>
        </w:rPr>
        <w:t>Объем выполненных работ по виду деятельности</w:t>
      </w:r>
      <w:r w:rsidRPr="002D342C">
        <w:rPr>
          <w:rFonts w:ascii="Times New Roman" w:hAnsi="Times New Roman" w:cs="Times New Roman"/>
          <w:b/>
          <w:sz w:val="28"/>
          <w:szCs w:val="28"/>
        </w:rPr>
        <w:t xml:space="preserve"> </w:t>
      </w:r>
      <w:r w:rsidRPr="002D342C">
        <w:rPr>
          <w:rFonts w:ascii="Times New Roman" w:hAnsi="Times New Roman" w:cs="Times New Roman"/>
          <w:b/>
          <w:i/>
          <w:sz w:val="28"/>
          <w:szCs w:val="28"/>
        </w:rPr>
        <w:t>«Строительство»</w:t>
      </w:r>
      <w:r w:rsidRPr="002D342C">
        <w:rPr>
          <w:rFonts w:ascii="Times New Roman" w:hAnsi="Times New Roman" w:cs="Times New Roman"/>
          <w:b/>
          <w:sz w:val="28"/>
          <w:szCs w:val="28"/>
        </w:rPr>
        <w:t xml:space="preserve">  </w:t>
      </w:r>
      <w:r w:rsidRPr="002D342C">
        <w:rPr>
          <w:rFonts w:ascii="Times New Roman" w:hAnsi="Times New Roman" w:cs="Times New Roman"/>
          <w:sz w:val="28"/>
          <w:szCs w:val="28"/>
        </w:rPr>
        <w:t xml:space="preserve">в 2015 году снизился к уровню прошлого гола и составил 678,5 млн. рублей. </w:t>
      </w:r>
    </w:p>
    <w:p w:rsidR="002D342C" w:rsidRDefault="002D342C" w:rsidP="002D342C">
      <w:pPr>
        <w:ind w:firstLine="708"/>
        <w:jc w:val="both"/>
        <w:rPr>
          <w:sz w:val="28"/>
          <w:szCs w:val="28"/>
        </w:rPr>
      </w:pPr>
    </w:p>
    <w:p w:rsidR="002D342C" w:rsidRPr="004639B1" w:rsidRDefault="002D342C" w:rsidP="002D342C">
      <w:pPr>
        <w:jc w:val="both"/>
        <w:rPr>
          <w:sz w:val="26"/>
          <w:szCs w:val="26"/>
        </w:rPr>
      </w:pPr>
    </w:p>
    <w:p w:rsidR="002D342C" w:rsidRDefault="002D342C" w:rsidP="002D342C">
      <w:pPr>
        <w:jc w:val="both"/>
        <w:rPr>
          <w:color w:val="FF0000"/>
          <w:sz w:val="26"/>
          <w:szCs w:val="26"/>
        </w:rPr>
      </w:pPr>
      <w:r>
        <w:rPr>
          <w:color w:val="FF0000"/>
          <w:sz w:val="26"/>
          <w:szCs w:val="26"/>
        </w:rPr>
        <w:lastRenderedPageBreak/>
        <w:tab/>
      </w:r>
      <w:r>
        <w:rPr>
          <w:noProof/>
          <w:color w:val="FF0000"/>
          <w:sz w:val="26"/>
          <w:szCs w:val="26"/>
          <w:lang w:eastAsia="ru-RU"/>
        </w:rPr>
        <w:drawing>
          <wp:inline distT="0" distB="0" distL="0" distR="0">
            <wp:extent cx="5164455" cy="1976755"/>
            <wp:effectExtent l="0" t="0" r="0" b="0"/>
            <wp:docPr id="47" name="Объект 4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D342C" w:rsidRPr="002D342C" w:rsidRDefault="002D342C" w:rsidP="002D342C">
      <w:pPr>
        <w:tabs>
          <w:tab w:val="left" w:pos="1944"/>
        </w:tabs>
        <w:jc w:val="center"/>
        <w:rPr>
          <w:rFonts w:ascii="Times New Roman" w:hAnsi="Times New Roman" w:cs="Times New Roman"/>
          <w:i/>
          <w:sz w:val="26"/>
          <w:szCs w:val="26"/>
        </w:rPr>
      </w:pPr>
      <w:r w:rsidRPr="002D342C">
        <w:rPr>
          <w:rFonts w:ascii="Times New Roman" w:hAnsi="Times New Roman" w:cs="Times New Roman"/>
          <w:i/>
          <w:sz w:val="26"/>
          <w:szCs w:val="26"/>
        </w:rPr>
        <w:t>Рисунок 18</w:t>
      </w:r>
    </w:p>
    <w:p w:rsidR="002D342C" w:rsidRPr="002D342C" w:rsidRDefault="002D342C" w:rsidP="002D342C">
      <w:pPr>
        <w:spacing w:after="0"/>
        <w:ind w:firstLine="708"/>
        <w:jc w:val="both"/>
        <w:rPr>
          <w:rFonts w:ascii="Times New Roman" w:hAnsi="Times New Roman" w:cs="Times New Roman"/>
          <w:sz w:val="28"/>
          <w:szCs w:val="28"/>
        </w:rPr>
      </w:pPr>
      <w:r w:rsidRPr="002D342C">
        <w:rPr>
          <w:rFonts w:ascii="Times New Roman" w:hAnsi="Times New Roman" w:cs="Times New Roman"/>
          <w:sz w:val="28"/>
          <w:szCs w:val="28"/>
        </w:rPr>
        <w:t xml:space="preserve">В рамках реализации муниципальных программ в сфере </w:t>
      </w:r>
      <w:r w:rsidRPr="002D342C">
        <w:rPr>
          <w:rFonts w:ascii="Times New Roman" w:hAnsi="Times New Roman" w:cs="Times New Roman"/>
          <w:i/>
          <w:sz w:val="28"/>
          <w:szCs w:val="28"/>
        </w:rPr>
        <w:t>капитального строительства, градостроительства и развития территорий</w:t>
      </w:r>
      <w:r w:rsidRPr="002D342C">
        <w:rPr>
          <w:rFonts w:ascii="Times New Roman" w:hAnsi="Times New Roman" w:cs="Times New Roman"/>
          <w:sz w:val="28"/>
          <w:szCs w:val="28"/>
        </w:rPr>
        <w:t xml:space="preserve"> реализованы следующие основные мероприятия:</w:t>
      </w:r>
    </w:p>
    <w:p w:rsidR="002D342C" w:rsidRPr="002D342C" w:rsidRDefault="002D342C" w:rsidP="002D342C">
      <w:pPr>
        <w:numPr>
          <w:ilvl w:val="0"/>
          <w:numId w:val="1"/>
        </w:numPr>
        <w:spacing w:after="0" w:line="240" w:lineRule="auto"/>
        <w:jc w:val="both"/>
        <w:rPr>
          <w:rFonts w:ascii="Times New Roman" w:hAnsi="Times New Roman" w:cs="Times New Roman"/>
          <w:sz w:val="28"/>
          <w:szCs w:val="28"/>
        </w:rPr>
      </w:pPr>
      <w:r w:rsidRPr="002D342C">
        <w:rPr>
          <w:rFonts w:ascii="Times New Roman" w:hAnsi="Times New Roman" w:cs="Times New Roman"/>
          <w:sz w:val="28"/>
          <w:szCs w:val="28"/>
        </w:rPr>
        <w:t xml:space="preserve">Завершен строительством и введены в эксплуатацию </w:t>
      </w:r>
      <w:r w:rsidRPr="002D342C">
        <w:rPr>
          <w:rFonts w:ascii="Times New Roman" w:hAnsi="Times New Roman" w:cs="Times New Roman"/>
          <w:color w:val="0000FF"/>
          <w:sz w:val="28"/>
          <w:szCs w:val="28"/>
        </w:rPr>
        <w:t>три 24-х квартирных и один 18-и квартирный ж/дома в пгт.Нглики</w:t>
      </w:r>
      <w:r w:rsidRPr="002D342C">
        <w:rPr>
          <w:rFonts w:ascii="Times New Roman" w:hAnsi="Times New Roman" w:cs="Times New Roman"/>
          <w:sz w:val="28"/>
          <w:szCs w:val="28"/>
        </w:rPr>
        <w:t>;</w:t>
      </w:r>
    </w:p>
    <w:p w:rsidR="002D342C" w:rsidRPr="002D342C" w:rsidRDefault="002D342C" w:rsidP="002D342C">
      <w:pPr>
        <w:numPr>
          <w:ilvl w:val="0"/>
          <w:numId w:val="1"/>
        </w:numPr>
        <w:spacing w:after="0" w:line="240" w:lineRule="auto"/>
        <w:jc w:val="both"/>
        <w:rPr>
          <w:rFonts w:ascii="Times New Roman" w:hAnsi="Times New Roman" w:cs="Times New Roman"/>
          <w:color w:val="0000CC"/>
          <w:sz w:val="28"/>
          <w:szCs w:val="28"/>
        </w:rPr>
      </w:pPr>
      <w:r w:rsidRPr="002D342C">
        <w:rPr>
          <w:rFonts w:ascii="Times New Roman" w:hAnsi="Times New Roman" w:cs="Times New Roman"/>
          <w:sz w:val="28"/>
          <w:szCs w:val="28"/>
        </w:rPr>
        <w:t xml:space="preserve">Продолжилась работа по разработке документации по </w:t>
      </w:r>
      <w:r w:rsidRPr="002D342C">
        <w:rPr>
          <w:rFonts w:ascii="Times New Roman" w:hAnsi="Times New Roman" w:cs="Times New Roman"/>
          <w:color w:val="0000CC"/>
          <w:sz w:val="28"/>
          <w:szCs w:val="28"/>
        </w:rPr>
        <w:t>развитию системы градостроительного планирования.</w:t>
      </w:r>
    </w:p>
    <w:p w:rsidR="002D342C" w:rsidRPr="002D342C" w:rsidRDefault="002D342C" w:rsidP="002D342C">
      <w:pPr>
        <w:numPr>
          <w:ilvl w:val="0"/>
          <w:numId w:val="1"/>
        </w:numPr>
        <w:spacing w:after="0" w:line="240" w:lineRule="auto"/>
        <w:jc w:val="both"/>
        <w:rPr>
          <w:rFonts w:ascii="Times New Roman" w:hAnsi="Times New Roman" w:cs="Times New Roman"/>
          <w:color w:val="0000CC"/>
          <w:sz w:val="28"/>
          <w:szCs w:val="28"/>
        </w:rPr>
      </w:pPr>
      <w:r w:rsidRPr="002D342C">
        <w:rPr>
          <w:rFonts w:ascii="Times New Roman" w:hAnsi="Times New Roman" w:cs="Times New Roman"/>
          <w:sz w:val="28"/>
          <w:szCs w:val="28"/>
        </w:rPr>
        <w:t xml:space="preserve">Выполнены работы по разработке проекта  </w:t>
      </w:r>
      <w:r w:rsidRPr="002D342C">
        <w:rPr>
          <w:rFonts w:ascii="Times New Roman" w:hAnsi="Times New Roman" w:cs="Times New Roman"/>
          <w:color w:val="0000CC"/>
          <w:sz w:val="28"/>
          <w:szCs w:val="28"/>
        </w:rPr>
        <w:t>«Сейсмоусиление здания средней общеобразовательной школы №1 пгт. Ноглики».</w:t>
      </w:r>
    </w:p>
    <w:p w:rsidR="002D342C" w:rsidRPr="002D342C" w:rsidRDefault="002D342C" w:rsidP="002D342C">
      <w:pPr>
        <w:numPr>
          <w:ilvl w:val="0"/>
          <w:numId w:val="1"/>
        </w:numPr>
        <w:spacing w:after="0" w:line="240" w:lineRule="auto"/>
        <w:jc w:val="both"/>
        <w:rPr>
          <w:rFonts w:ascii="Times New Roman" w:hAnsi="Times New Roman" w:cs="Times New Roman"/>
          <w:sz w:val="28"/>
          <w:szCs w:val="28"/>
        </w:rPr>
      </w:pPr>
      <w:r w:rsidRPr="002D342C">
        <w:rPr>
          <w:rFonts w:ascii="Times New Roman" w:hAnsi="Times New Roman" w:cs="Times New Roman"/>
          <w:sz w:val="28"/>
          <w:szCs w:val="28"/>
        </w:rPr>
        <w:t xml:space="preserve">Выполнены работы по проведению инженерных изысканий под </w:t>
      </w:r>
      <w:r w:rsidRPr="002D342C">
        <w:rPr>
          <w:rFonts w:ascii="Times New Roman" w:hAnsi="Times New Roman" w:cs="Times New Roman"/>
          <w:color w:val="0000CC"/>
          <w:sz w:val="28"/>
          <w:szCs w:val="28"/>
        </w:rPr>
        <w:t>строительство 30 – квартирного жилого дома в пгт.Ноглики.</w:t>
      </w:r>
    </w:p>
    <w:p w:rsidR="002D342C" w:rsidRPr="002D342C" w:rsidRDefault="002D342C" w:rsidP="002D342C">
      <w:pPr>
        <w:numPr>
          <w:ilvl w:val="0"/>
          <w:numId w:val="1"/>
        </w:numPr>
        <w:spacing w:after="0" w:line="240" w:lineRule="auto"/>
        <w:jc w:val="both"/>
        <w:rPr>
          <w:rFonts w:ascii="Times New Roman" w:hAnsi="Times New Roman" w:cs="Times New Roman"/>
          <w:sz w:val="28"/>
          <w:szCs w:val="28"/>
        </w:rPr>
      </w:pPr>
      <w:r w:rsidRPr="002D342C">
        <w:rPr>
          <w:rFonts w:ascii="Times New Roman" w:hAnsi="Times New Roman" w:cs="Times New Roman"/>
          <w:color w:val="0000CC"/>
          <w:sz w:val="28"/>
          <w:szCs w:val="28"/>
        </w:rPr>
        <w:t>Завершено строительство детского сада на 110 мест</w:t>
      </w:r>
      <w:r w:rsidRPr="002D342C">
        <w:rPr>
          <w:rFonts w:ascii="Times New Roman" w:hAnsi="Times New Roman" w:cs="Times New Roman"/>
          <w:sz w:val="28"/>
          <w:szCs w:val="28"/>
        </w:rPr>
        <w:t xml:space="preserve"> (д/с «Березка», колхоз «Восток»).</w:t>
      </w:r>
    </w:p>
    <w:p w:rsidR="002D342C" w:rsidRPr="002D342C" w:rsidRDefault="002D342C" w:rsidP="002D342C">
      <w:pPr>
        <w:numPr>
          <w:ilvl w:val="0"/>
          <w:numId w:val="1"/>
        </w:numPr>
        <w:spacing w:after="0" w:line="240" w:lineRule="auto"/>
        <w:jc w:val="both"/>
        <w:rPr>
          <w:rFonts w:ascii="Times New Roman" w:hAnsi="Times New Roman" w:cs="Times New Roman"/>
          <w:sz w:val="28"/>
          <w:szCs w:val="28"/>
        </w:rPr>
      </w:pPr>
      <w:r w:rsidRPr="002D342C">
        <w:rPr>
          <w:rFonts w:ascii="Times New Roman" w:hAnsi="Times New Roman" w:cs="Times New Roman"/>
          <w:sz w:val="28"/>
          <w:szCs w:val="28"/>
        </w:rPr>
        <w:t xml:space="preserve">Завершены работы по </w:t>
      </w:r>
      <w:r w:rsidRPr="002D342C">
        <w:rPr>
          <w:rFonts w:ascii="Times New Roman" w:hAnsi="Times New Roman" w:cs="Times New Roman"/>
          <w:color w:val="0000CC"/>
          <w:sz w:val="28"/>
          <w:szCs w:val="28"/>
        </w:rPr>
        <w:t>капитальному ремонту бассейна в пгт.Ноглики</w:t>
      </w:r>
      <w:r w:rsidRPr="002D342C">
        <w:rPr>
          <w:rFonts w:ascii="Times New Roman" w:hAnsi="Times New Roman" w:cs="Times New Roman"/>
          <w:sz w:val="28"/>
          <w:szCs w:val="28"/>
        </w:rPr>
        <w:t>.</w:t>
      </w:r>
    </w:p>
    <w:p w:rsidR="002D342C" w:rsidRPr="002D342C" w:rsidRDefault="002D342C" w:rsidP="002D342C">
      <w:pPr>
        <w:numPr>
          <w:ilvl w:val="0"/>
          <w:numId w:val="1"/>
        </w:numPr>
        <w:spacing w:after="0" w:line="240" w:lineRule="auto"/>
        <w:jc w:val="both"/>
        <w:rPr>
          <w:rFonts w:ascii="Times New Roman" w:hAnsi="Times New Roman" w:cs="Times New Roman"/>
          <w:sz w:val="28"/>
          <w:szCs w:val="28"/>
        </w:rPr>
      </w:pPr>
      <w:r w:rsidRPr="002D342C">
        <w:rPr>
          <w:rFonts w:ascii="Times New Roman" w:hAnsi="Times New Roman" w:cs="Times New Roman"/>
          <w:sz w:val="28"/>
          <w:szCs w:val="28"/>
        </w:rPr>
        <w:t xml:space="preserve">Заключен муниципальный контракт на </w:t>
      </w:r>
      <w:r w:rsidRPr="002D342C">
        <w:rPr>
          <w:rFonts w:ascii="Times New Roman" w:hAnsi="Times New Roman" w:cs="Times New Roman"/>
          <w:color w:val="0000CC"/>
          <w:sz w:val="28"/>
          <w:szCs w:val="28"/>
        </w:rPr>
        <w:t>разработку проектно-сметной документации по объекту «Крытый корт в пгт. Ноглики».</w:t>
      </w:r>
    </w:p>
    <w:p w:rsidR="002D342C" w:rsidRPr="002D342C" w:rsidRDefault="002D342C" w:rsidP="002D342C">
      <w:pPr>
        <w:numPr>
          <w:ilvl w:val="0"/>
          <w:numId w:val="1"/>
        </w:numPr>
        <w:spacing w:after="0" w:line="240" w:lineRule="auto"/>
        <w:jc w:val="both"/>
        <w:rPr>
          <w:rFonts w:ascii="Times New Roman" w:hAnsi="Times New Roman" w:cs="Times New Roman"/>
          <w:color w:val="0000CC"/>
          <w:sz w:val="28"/>
          <w:szCs w:val="28"/>
        </w:rPr>
      </w:pPr>
      <w:r w:rsidRPr="002D342C">
        <w:rPr>
          <w:rFonts w:ascii="Times New Roman" w:hAnsi="Times New Roman" w:cs="Times New Roman"/>
          <w:sz w:val="28"/>
          <w:szCs w:val="28"/>
        </w:rPr>
        <w:t xml:space="preserve">Завершены работы по устройству фундамента для дальнейшего </w:t>
      </w:r>
      <w:r w:rsidRPr="002D342C">
        <w:rPr>
          <w:rFonts w:ascii="Times New Roman" w:hAnsi="Times New Roman" w:cs="Times New Roman"/>
          <w:color w:val="0000CC"/>
          <w:sz w:val="28"/>
          <w:szCs w:val="28"/>
        </w:rPr>
        <w:t>монтажа котельной для СК «Арена».</w:t>
      </w:r>
    </w:p>
    <w:p w:rsidR="002D342C" w:rsidRPr="002D342C" w:rsidRDefault="002D342C" w:rsidP="002D342C">
      <w:pPr>
        <w:spacing w:after="0"/>
        <w:ind w:firstLine="540"/>
        <w:jc w:val="both"/>
        <w:rPr>
          <w:rFonts w:ascii="Times New Roman" w:hAnsi="Times New Roman" w:cs="Times New Roman"/>
          <w:b/>
          <w:i/>
          <w:sz w:val="28"/>
          <w:szCs w:val="28"/>
        </w:rPr>
      </w:pPr>
      <w:r w:rsidRPr="002D342C">
        <w:rPr>
          <w:rFonts w:ascii="Times New Roman" w:hAnsi="Times New Roman" w:cs="Times New Roman"/>
          <w:b/>
          <w:i/>
          <w:sz w:val="28"/>
          <w:szCs w:val="28"/>
        </w:rPr>
        <w:t xml:space="preserve">Жилищное строительство </w:t>
      </w:r>
    </w:p>
    <w:p w:rsidR="002D342C" w:rsidRDefault="002D342C" w:rsidP="002D342C">
      <w:pPr>
        <w:pStyle w:val="a9"/>
        <w:spacing w:before="0" w:beforeAutospacing="0" w:after="0" w:afterAutospacing="0"/>
        <w:ind w:firstLine="720"/>
        <w:jc w:val="both"/>
        <w:rPr>
          <w:sz w:val="28"/>
          <w:szCs w:val="28"/>
        </w:rPr>
      </w:pPr>
      <w:r w:rsidRPr="00D24D2B">
        <w:rPr>
          <w:sz w:val="28"/>
          <w:szCs w:val="28"/>
        </w:rPr>
        <w:t>В рамках реализации мероприятий муниципальной программы по обеспечению населения городского округа жильем и с учетом индивидуальных застройщиков в 2015 году  в муниципальном образовании введено 6,8 тыс.м² общей площади жилых домов</w:t>
      </w:r>
      <w:r>
        <w:rPr>
          <w:sz w:val="28"/>
          <w:szCs w:val="28"/>
        </w:rPr>
        <w:t>, построено и введено в пгт.Ноглики:</w:t>
      </w:r>
    </w:p>
    <w:p w:rsidR="002D342C" w:rsidRDefault="002D342C" w:rsidP="002D342C">
      <w:pPr>
        <w:pStyle w:val="a9"/>
        <w:spacing w:before="0" w:beforeAutospacing="0" w:after="0" w:afterAutospacing="0"/>
        <w:ind w:firstLine="720"/>
        <w:jc w:val="both"/>
        <w:rPr>
          <w:sz w:val="28"/>
          <w:szCs w:val="28"/>
        </w:rPr>
      </w:pPr>
      <w:r>
        <w:rPr>
          <w:sz w:val="28"/>
          <w:szCs w:val="28"/>
        </w:rPr>
        <w:t>-  4 многоквартирных жилых дома (три 24-х квартирных ж/дома и один 18-и квартирный ж/дом);</w:t>
      </w:r>
    </w:p>
    <w:p w:rsidR="002D342C" w:rsidRDefault="002D342C" w:rsidP="002D342C">
      <w:pPr>
        <w:pStyle w:val="a9"/>
        <w:spacing w:before="0" w:beforeAutospacing="0" w:after="0" w:afterAutospacing="0"/>
        <w:ind w:firstLine="720"/>
        <w:jc w:val="both"/>
        <w:rPr>
          <w:sz w:val="28"/>
          <w:szCs w:val="28"/>
        </w:rPr>
      </w:pPr>
      <w:r>
        <w:rPr>
          <w:sz w:val="28"/>
          <w:szCs w:val="28"/>
        </w:rPr>
        <w:t xml:space="preserve">- </w:t>
      </w:r>
      <w:r w:rsidRPr="00BC1BFA">
        <w:rPr>
          <w:sz w:val="28"/>
          <w:szCs w:val="28"/>
        </w:rPr>
        <w:t>15</w:t>
      </w:r>
      <w:r>
        <w:rPr>
          <w:sz w:val="28"/>
          <w:szCs w:val="28"/>
        </w:rPr>
        <w:t xml:space="preserve"> ж</w:t>
      </w:r>
      <w:r w:rsidRPr="00BC1BFA">
        <w:rPr>
          <w:sz w:val="28"/>
          <w:szCs w:val="28"/>
        </w:rPr>
        <w:t>/</w:t>
      </w:r>
      <w:r>
        <w:rPr>
          <w:sz w:val="28"/>
          <w:szCs w:val="28"/>
        </w:rPr>
        <w:t>домов индивидуальной жилищной застройки.</w:t>
      </w:r>
    </w:p>
    <w:p w:rsidR="002D342C" w:rsidRDefault="002D342C" w:rsidP="002D342C">
      <w:pPr>
        <w:pStyle w:val="a9"/>
        <w:spacing w:before="0" w:beforeAutospacing="0" w:after="0" w:afterAutospacing="0"/>
        <w:ind w:firstLine="720"/>
        <w:jc w:val="both"/>
        <w:rPr>
          <w:sz w:val="28"/>
          <w:szCs w:val="28"/>
        </w:rPr>
      </w:pPr>
      <w:r w:rsidRPr="0078790B">
        <w:rPr>
          <w:sz w:val="28"/>
          <w:szCs w:val="28"/>
        </w:rPr>
        <w:t xml:space="preserve">Общая площадь введенного жилья в отчетном году </w:t>
      </w:r>
      <w:r>
        <w:rPr>
          <w:sz w:val="28"/>
          <w:szCs w:val="28"/>
        </w:rPr>
        <w:t>превысила объемы ввода жилья 2014 года в 1,6 раза.</w:t>
      </w:r>
    </w:p>
    <w:p w:rsidR="002D342C" w:rsidRPr="004639B1" w:rsidRDefault="002D342C" w:rsidP="002D342C">
      <w:pPr>
        <w:ind w:firstLine="708"/>
        <w:jc w:val="both"/>
        <w:rPr>
          <w:color w:val="FF0000"/>
          <w:sz w:val="28"/>
          <w:szCs w:val="28"/>
        </w:rPr>
      </w:pPr>
    </w:p>
    <w:p w:rsidR="002D342C" w:rsidRDefault="002D342C" w:rsidP="002D342C">
      <w:pPr>
        <w:jc w:val="both"/>
        <w:rPr>
          <w:sz w:val="26"/>
          <w:szCs w:val="26"/>
        </w:rPr>
      </w:pPr>
      <w:r>
        <w:rPr>
          <w:b/>
          <w:bCs/>
          <w:noProof/>
          <w:lang w:eastAsia="ru-RU"/>
        </w:rPr>
        <w:lastRenderedPageBreak/>
        <w:drawing>
          <wp:inline distT="0" distB="0" distL="0" distR="0">
            <wp:extent cx="5829300" cy="4805045"/>
            <wp:effectExtent l="19050" t="0" r="0" b="0"/>
            <wp:docPr id="48" name="Объект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D342C" w:rsidRPr="002D342C" w:rsidRDefault="002D342C" w:rsidP="002D342C">
      <w:pPr>
        <w:tabs>
          <w:tab w:val="left" w:pos="6630"/>
        </w:tabs>
        <w:jc w:val="center"/>
        <w:rPr>
          <w:rFonts w:ascii="Times New Roman" w:hAnsi="Times New Roman" w:cs="Times New Roman"/>
          <w:i/>
          <w:sz w:val="24"/>
          <w:szCs w:val="24"/>
        </w:rPr>
      </w:pPr>
      <w:r w:rsidRPr="002D342C">
        <w:rPr>
          <w:rFonts w:ascii="Times New Roman" w:hAnsi="Times New Roman" w:cs="Times New Roman"/>
          <w:i/>
          <w:sz w:val="24"/>
          <w:szCs w:val="24"/>
        </w:rPr>
        <w:t>Рисунок 19</w:t>
      </w:r>
    </w:p>
    <w:p w:rsidR="002D342C" w:rsidRPr="004639B1" w:rsidRDefault="002D342C" w:rsidP="002D342C">
      <w:pPr>
        <w:jc w:val="both"/>
        <w:rPr>
          <w:b/>
          <w:color w:val="FF0000"/>
          <w:sz w:val="28"/>
          <w:szCs w:val="28"/>
        </w:rPr>
      </w:pPr>
    </w:p>
    <w:p w:rsidR="00664A86" w:rsidRPr="00664A86" w:rsidRDefault="00664A86" w:rsidP="00664A86">
      <w:pPr>
        <w:spacing w:after="0"/>
        <w:ind w:firstLine="540"/>
        <w:jc w:val="both"/>
        <w:rPr>
          <w:rFonts w:ascii="Times New Roman" w:hAnsi="Times New Roman" w:cs="Times New Roman"/>
          <w:b/>
          <w:sz w:val="28"/>
          <w:szCs w:val="28"/>
          <w:u w:val="single"/>
        </w:rPr>
      </w:pPr>
      <w:r w:rsidRPr="00664A86">
        <w:rPr>
          <w:rFonts w:ascii="Times New Roman" w:hAnsi="Times New Roman" w:cs="Times New Roman"/>
          <w:b/>
          <w:sz w:val="28"/>
          <w:szCs w:val="28"/>
          <w:u w:val="single"/>
        </w:rPr>
        <w:t>Малое и среднее предпринимательство</w:t>
      </w:r>
    </w:p>
    <w:p w:rsidR="00664A86" w:rsidRPr="00664A86" w:rsidRDefault="00664A86" w:rsidP="00664A86">
      <w:pPr>
        <w:spacing w:after="0"/>
        <w:ind w:firstLine="720"/>
        <w:jc w:val="both"/>
        <w:rPr>
          <w:rFonts w:ascii="Times New Roman" w:hAnsi="Times New Roman" w:cs="Times New Roman"/>
          <w:sz w:val="28"/>
          <w:szCs w:val="28"/>
        </w:rPr>
      </w:pPr>
      <w:r w:rsidRPr="00664A86">
        <w:rPr>
          <w:rFonts w:ascii="Times New Roman" w:hAnsi="Times New Roman" w:cs="Times New Roman"/>
          <w:sz w:val="28"/>
          <w:szCs w:val="28"/>
        </w:rPr>
        <w:t xml:space="preserve">Количество малых и средних предприятий с учетом индивидуальных предпринимателей, зарегистрированных в муниципальном образовании, по состоянию на 1 января 2016 года составляет 434 субъекта. Несмотря на сложившуюся политическую ситуацию, отразившуюся на экономике России в целом, количество субъектов предпринимательства не претерпело серьезных изменений. </w:t>
      </w:r>
    </w:p>
    <w:p w:rsidR="00664A86" w:rsidRPr="00664A86" w:rsidRDefault="00664A86" w:rsidP="00664A86">
      <w:pPr>
        <w:spacing w:after="0"/>
        <w:ind w:firstLine="720"/>
        <w:jc w:val="both"/>
        <w:rPr>
          <w:rFonts w:ascii="Times New Roman" w:hAnsi="Times New Roman" w:cs="Times New Roman"/>
          <w:sz w:val="28"/>
          <w:szCs w:val="28"/>
        </w:rPr>
      </w:pPr>
      <w:r w:rsidRPr="00664A86">
        <w:rPr>
          <w:rFonts w:ascii="Times New Roman" w:hAnsi="Times New Roman" w:cs="Times New Roman"/>
          <w:sz w:val="28"/>
          <w:szCs w:val="28"/>
        </w:rPr>
        <w:t xml:space="preserve">Общее число субъектов малого и среднего предпринимательства по сравнению с началом 2015 года уменьшилось на 11, в основном, за счет сокращения числа индивидуальных предпринимателей. </w:t>
      </w:r>
    </w:p>
    <w:p w:rsidR="00664A86" w:rsidRPr="00664A86" w:rsidRDefault="00664A86" w:rsidP="00664A86">
      <w:pPr>
        <w:spacing w:after="0"/>
        <w:ind w:firstLine="709"/>
        <w:jc w:val="both"/>
        <w:rPr>
          <w:rFonts w:ascii="Times New Roman" w:hAnsi="Times New Roman" w:cs="Times New Roman"/>
          <w:sz w:val="28"/>
          <w:szCs w:val="28"/>
        </w:rPr>
      </w:pPr>
      <w:r w:rsidRPr="00664A86">
        <w:rPr>
          <w:rFonts w:ascii="Times New Roman" w:hAnsi="Times New Roman" w:cs="Times New Roman"/>
          <w:sz w:val="28"/>
          <w:szCs w:val="28"/>
        </w:rPr>
        <w:t xml:space="preserve">В условиях, сложившихся в целом в российской экономике, необходимость поддержки малого предпринимательства с использованием финансовых инструментов приобретает все большее значение. На территории городского округа принята и реализуется подпрограмма </w:t>
      </w:r>
      <w:r w:rsidRPr="00664A86">
        <w:rPr>
          <w:rFonts w:ascii="Times New Roman" w:hAnsi="Times New Roman" w:cs="Times New Roman"/>
          <w:sz w:val="28"/>
          <w:szCs w:val="28"/>
        </w:rPr>
        <w:lastRenderedPageBreak/>
        <w:t>«Развитие малого и среднего предпринимательства в муниципальном образовании «Городской округ Ногликский» на 2015-2020 годы».</w:t>
      </w:r>
    </w:p>
    <w:p w:rsidR="00664A86" w:rsidRPr="00664A86" w:rsidRDefault="00664A86" w:rsidP="00664A86">
      <w:pPr>
        <w:spacing w:after="0"/>
        <w:ind w:firstLine="748"/>
        <w:jc w:val="both"/>
        <w:rPr>
          <w:rFonts w:ascii="Times New Roman" w:hAnsi="Times New Roman" w:cs="Times New Roman"/>
          <w:sz w:val="28"/>
          <w:szCs w:val="28"/>
        </w:rPr>
      </w:pPr>
      <w:r w:rsidRPr="00664A86">
        <w:rPr>
          <w:rFonts w:ascii="Times New Roman" w:hAnsi="Times New Roman" w:cs="Times New Roman"/>
          <w:sz w:val="28"/>
          <w:szCs w:val="28"/>
        </w:rPr>
        <w:t>В рамках реализации данной подпрограммы в 2015 году была оказана финансовая поддержка 27-ми субъектам предпринимательства на сумму в 10,2 млн. рублей за счет средств местного и областного бюджетов (в 2014 году получателями субсидий стали 13 субъектов, сумма поддержки - 1,6 млн. рублей).</w:t>
      </w:r>
    </w:p>
    <w:p w:rsidR="00664A86" w:rsidRDefault="00664A86" w:rsidP="00664A86">
      <w:pPr>
        <w:pStyle w:val="2"/>
        <w:spacing w:after="0" w:line="240" w:lineRule="auto"/>
        <w:ind w:firstLine="709"/>
        <w:jc w:val="both"/>
        <w:rPr>
          <w:sz w:val="28"/>
          <w:szCs w:val="28"/>
        </w:rPr>
      </w:pPr>
      <w:r>
        <w:rPr>
          <w:noProof/>
          <w:sz w:val="28"/>
          <w:szCs w:val="28"/>
        </w:rPr>
        <w:drawing>
          <wp:inline distT="0" distB="0" distL="0" distR="0">
            <wp:extent cx="5507567" cy="3505200"/>
            <wp:effectExtent l="38100" t="0" r="16933" b="0"/>
            <wp:docPr id="8" name="Организационная диаграм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664A86" w:rsidRPr="00664A86" w:rsidRDefault="00664A86" w:rsidP="00664A86">
      <w:pPr>
        <w:pStyle w:val="2"/>
        <w:spacing w:after="0" w:line="240" w:lineRule="auto"/>
        <w:ind w:firstLine="709"/>
        <w:jc w:val="center"/>
        <w:rPr>
          <w:i/>
        </w:rPr>
      </w:pPr>
      <w:r w:rsidRPr="00664A86">
        <w:rPr>
          <w:i/>
        </w:rPr>
        <w:t>Рисунок 20</w:t>
      </w:r>
    </w:p>
    <w:p w:rsidR="00664A86" w:rsidRDefault="00664A86" w:rsidP="00664A86">
      <w:pPr>
        <w:pStyle w:val="2"/>
        <w:spacing w:after="0" w:line="240" w:lineRule="auto"/>
        <w:ind w:firstLine="709"/>
        <w:jc w:val="both"/>
        <w:rPr>
          <w:sz w:val="28"/>
          <w:szCs w:val="28"/>
        </w:rPr>
      </w:pPr>
    </w:p>
    <w:p w:rsidR="00664A86" w:rsidRPr="00495C32" w:rsidRDefault="00664A86" w:rsidP="00664A86">
      <w:pPr>
        <w:pStyle w:val="2"/>
        <w:spacing w:after="0" w:line="240" w:lineRule="auto"/>
        <w:ind w:firstLine="709"/>
        <w:jc w:val="both"/>
        <w:rPr>
          <w:sz w:val="28"/>
          <w:szCs w:val="28"/>
        </w:rPr>
      </w:pPr>
      <w:r w:rsidRPr="00717B26">
        <w:rPr>
          <w:sz w:val="28"/>
          <w:szCs w:val="28"/>
        </w:rPr>
        <w:t>Малый бизнес активно участвует в социально-экономической жизни городского округа, осуществляет производство и реализацию товаров и</w:t>
      </w:r>
      <w:r w:rsidRPr="00495C32">
        <w:rPr>
          <w:sz w:val="28"/>
          <w:szCs w:val="28"/>
        </w:rPr>
        <w:t xml:space="preserve"> услуг, обеспечивает занятость населения. С учетом индивидуальных предпринимателей в сфере предпринимательства занято (по оценке) 1,2 тыс. человек (23% от общей численности занятых в экономике округа).</w:t>
      </w:r>
    </w:p>
    <w:p w:rsidR="00664A86" w:rsidRDefault="00664A86" w:rsidP="00664A86">
      <w:pPr>
        <w:ind w:firstLine="708"/>
        <w:jc w:val="both"/>
        <w:rPr>
          <w:rFonts w:ascii="Times New Roman" w:hAnsi="Times New Roman" w:cs="Times New Roman"/>
          <w:sz w:val="28"/>
          <w:szCs w:val="28"/>
        </w:rPr>
      </w:pPr>
      <w:r w:rsidRPr="00664A86">
        <w:rPr>
          <w:rFonts w:ascii="Times New Roman" w:hAnsi="Times New Roman" w:cs="Times New Roman"/>
          <w:sz w:val="28"/>
          <w:szCs w:val="28"/>
        </w:rPr>
        <w:t>Расширяется участие субъектов малого бизнеса в решении проблем городского хозяйства, в т.ч. путем выполнения муниципальных контрактов.</w:t>
      </w:r>
      <w:r w:rsidRPr="00664A86">
        <w:rPr>
          <w:rFonts w:ascii="Times New Roman" w:hAnsi="Times New Roman" w:cs="Times New Roman"/>
          <w:color w:val="FF0000"/>
          <w:sz w:val="28"/>
          <w:szCs w:val="28"/>
        </w:rPr>
        <w:t xml:space="preserve"> </w:t>
      </w:r>
      <w:r w:rsidRPr="00664A86">
        <w:rPr>
          <w:rFonts w:ascii="Times New Roman" w:hAnsi="Times New Roman" w:cs="Times New Roman"/>
          <w:sz w:val="28"/>
          <w:szCs w:val="28"/>
        </w:rPr>
        <w:t xml:space="preserve">За 2015 год сумма контрактов на выполнение работ, оказание услуг для муниципальных нужд субъектами малого предпринимательства составила 60,9 млн.руб. или 24,7% от суммы контрактов, заключенных конкурентным способом. </w:t>
      </w:r>
    </w:p>
    <w:p w:rsidR="00C42E74" w:rsidRPr="00C42E74" w:rsidRDefault="00C42E74" w:rsidP="00C42E74">
      <w:pPr>
        <w:ind w:firstLine="708"/>
        <w:jc w:val="center"/>
        <w:rPr>
          <w:rFonts w:ascii="Times New Roman" w:hAnsi="Times New Roman" w:cs="Times New Roman"/>
          <w:b/>
          <w:sz w:val="28"/>
          <w:szCs w:val="28"/>
        </w:rPr>
      </w:pPr>
      <w:r>
        <w:rPr>
          <w:rFonts w:ascii="Times New Roman" w:hAnsi="Times New Roman" w:cs="Times New Roman"/>
          <w:b/>
          <w:sz w:val="28"/>
          <w:szCs w:val="28"/>
        </w:rPr>
        <w:t>Муниципальное имущество</w:t>
      </w:r>
    </w:p>
    <w:p w:rsidR="00C42E74" w:rsidRPr="00C42E74" w:rsidRDefault="00C42E74" w:rsidP="00C42E74">
      <w:pPr>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По состоянию на 01.01.2016 г. на территории МО «Городской округ Ногликский» функционируют 2 муниципальных унитарных предприятия,</w:t>
      </w:r>
      <w:r w:rsidRPr="00C42E74">
        <w:rPr>
          <w:rFonts w:ascii="Times New Roman" w:hAnsi="Times New Roman" w:cs="Times New Roman"/>
          <w:color w:val="FF0000"/>
          <w:sz w:val="28"/>
          <w:szCs w:val="28"/>
        </w:rPr>
        <w:t xml:space="preserve"> </w:t>
      </w:r>
      <w:r w:rsidRPr="00C42E74">
        <w:rPr>
          <w:rFonts w:ascii="Times New Roman" w:hAnsi="Times New Roman" w:cs="Times New Roman"/>
          <w:sz w:val="28"/>
          <w:szCs w:val="28"/>
        </w:rPr>
        <w:t xml:space="preserve">25 муниципальных учреждения, в том числе 2 автономных учреждения. В </w:t>
      </w:r>
      <w:r w:rsidRPr="00C42E74">
        <w:rPr>
          <w:rFonts w:ascii="Times New Roman" w:hAnsi="Times New Roman" w:cs="Times New Roman"/>
          <w:sz w:val="28"/>
          <w:szCs w:val="28"/>
        </w:rPr>
        <w:lastRenderedPageBreak/>
        <w:t xml:space="preserve">отраслевом разрезе все муниципальные предприятия - жилищно-коммунальные. Муниципальные учреждения представлены: учреждениями СМИ – 2, учреждениями  культуры – 6, образования – 12* (* - деятельность д/с № 9 «Березка» была приостановлена в связи со сносом старого здания и строительством нового), спорта – 2, прочих – 3 (МКУ «Архив Ногликского района», МКУ «Управление социальной политики», МКУ «Централизованная система обслуживания»). </w:t>
      </w:r>
    </w:p>
    <w:p w:rsidR="00C42E74" w:rsidRPr="00C42E74" w:rsidRDefault="00C42E74" w:rsidP="00C42E74">
      <w:pPr>
        <w:tabs>
          <w:tab w:val="left" w:pos="709"/>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Собственность МО «Городской округ Ногликский» состоит из: имущества муниципальных предприятий, муниципальных учреждений, казенного имущества муниципального образования.</w:t>
      </w:r>
    </w:p>
    <w:p w:rsidR="00C42E74" w:rsidRPr="00C42E74" w:rsidRDefault="00C42E74" w:rsidP="00C42E74">
      <w:pPr>
        <w:tabs>
          <w:tab w:val="left" w:pos="709"/>
        </w:tabs>
        <w:jc w:val="both"/>
        <w:rPr>
          <w:rFonts w:ascii="Times New Roman" w:hAnsi="Times New Roman" w:cs="Times New Roman"/>
          <w:sz w:val="28"/>
          <w:szCs w:val="28"/>
        </w:rPr>
      </w:pPr>
    </w:p>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 xml:space="preserve">Сведения о стоимости муниципального имущества </w:t>
      </w:r>
    </w:p>
    <w:p w:rsidR="00C42E74" w:rsidRPr="00C42E74" w:rsidRDefault="00C42E74" w:rsidP="00C42E74">
      <w:pPr>
        <w:spacing w:after="0"/>
        <w:jc w:val="right"/>
        <w:rPr>
          <w:rFonts w:ascii="Times New Roman" w:hAnsi="Times New Roman" w:cs="Times New Roman"/>
          <w:i/>
          <w:sz w:val="28"/>
          <w:szCs w:val="28"/>
        </w:rPr>
      </w:pPr>
      <w:r w:rsidRPr="00C42E74">
        <w:rPr>
          <w:rFonts w:ascii="Times New Roman" w:hAnsi="Times New Roman" w:cs="Times New Roman"/>
          <w:i/>
          <w:sz w:val="28"/>
          <w:szCs w:val="28"/>
        </w:rPr>
        <w:t xml:space="preserve">                                                                                                                                                              Тыс.руб.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3"/>
        <w:gridCol w:w="3293"/>
        <w:gridCol w:w="1915"/>
        <w:gridCol w:w="1915"/>
        <w:gridCol w:w="1915"/>
      </w:tblGrid>
      <w:tr w:rsidR="00C42E74" w:rsidRPr="00C42E74" w:rsidTr="00C42E74">
        <w:tc>
          <w:tcPr>
            <w:tcW w:w="533" w:type="dxa"/>
          </w:tcPr>
          <w:p w:rsidR="00C42E74" w:rsidRPr="00C42E74" w:rsidRDefault="00C42E74" w:rsidP="00C42E74">
            <w:pPr>
              <w:spacing w:after="0"/>
              <w:jc w:val="center"/>
              <w:rPr>
                <w:rFonts w:ascii="Times New Roman" w:hAnsi="Times New Roman" w:cs="Times New Roman"/>
                <w:sz w:val="24"/>
                <w:szCs w:val="24"/>
              </w:rPr>
            </w:pPr>
            <w:r w:rsidRPr="00C42E74">
              <w:rPr>
                <w:rFonts w:ascii="Times New Roman" w:hAnsi="Times New Roman" w:cs="Times New Roman"/>
                <w:sz w:val="24"/>
                <w:szCs w:val="24"/>
              </w:rPr>
              <w:t>№</w:t>
            </w:r>
          </w:p>
        </w:tc>
        <w:tc>
          <w:tcPr>
            <w:tcW w:w="3293" w:type="dxa"/>
          </w:tcPr>
          <w:p w:rsidR="00C42E74" w:rsidRPr="00C42E74" w:rsidRDefault="00C42E74" w:rsidP="00C42E74">
            <w:pPr>
              <w:spacing w:after="0"/>
              <w:jc w:val="center"/>
              <w:rPr>
                <w:rFonts w:ascii="Times New Roman" w:hAnsi="Times New Roman" w:cs="Times New Roman"/>
                <w:sz w:val="24"/>
                <w:szCs w:val="24"/>
              </w:rPr>
            </w:pPr>
            <w:r w:rsidRPr="00C42E74">
              <w:rPr>
                <w:rFonts w:ascii="Times New Roman" w:hAnsi="Times New Roman" w:cs="Times New Roman"/>
                <w:sz w:val="24"/>
                <w:szCs w:val="24"/>
              </w:rPr>
              <w:t>Наименование</w:t>
            </w:r>
          </w:p>
        </w:tc>
        <w:tc>
          <w:tcPr>
            <w:tcW w:w="1915" w:type="dxa"/>
          </w:tcPr>
          <w:p w:rsidR="00C42E74" w:rsidRPr="00C42E74" w:rsidRDefault="00C42E74" w:rsidP="00C42E74">
            <w:pPr>
              <w:spacing w:after="0"/>
              <w:jc w:val="center"/>
              <w:rPr>
                <w:rFonts w:ascii="Times New Roman" w:hAnsi="Times New Roman" w:cs="Times New Roman"/>
                <w:sz w:val="24"/>
                <w:szCs w:val="24"/>
              </w:rPr>
            </w:pPr>
            <w:r w:rsidRPr="00C42E74">
              <w:rPr>
                <w:rFonts w:ascii="Times New Roman" w:hAnsi="Times New Roman" w:cs="Times New Roman"/>
                <w:sz w:val="24"/>
                <w:szCs w:val="24"/>
              </w:rPr>
              <w:t>На 01.01.2015 г.</w:t>
            </w:r>
          </w:p>
        </w:tc>
        <w:tc>
          <w:tcPr>
            <w:tcW w:w="1915" w:type="dxa"/>
          </w:tcPr>
          <w:p w:rsidR="00C42E74" w:rsidRPr="00C42E74" w:rsidRDefault="00C42E74" w:rsidP="00C42E74">
            <w:pPr>
              <w:spacing w:after="0"/>
              <w:jc w:val="center"/>
              <w:rPr>
                <w:rFonts w:ascii="Times New Roman" w:hAnsi="Times New Roman" w:cs="Times New Roman"/>
                <w:sz w:val="24"/>
                <w:szCs w:val="24"/>
              </w:rPr>
            </w:pPr>
            <w:r w:rsidRPr="00C42E74">
              <w:rPr>
                <w:rFonts w:ascii="Times New Roman" w:hAnsi="Times New Roman" w:cs="Times New Roman"/>
                <w:sz w:val="24"/>
                <w:szCs w:val="24"/>
              </w:rPr>
              <w:t>На 01.01.2016 г.</w:t>
            </w:r>
          </w:p>
        </w:tc>
        <w:tc>
          <w:tcPr>
            <w:tcW w:w="1915" w:type="dxa"/>
          </w:tcPr>
          <w:p w:rsidR="00C42E74" w:rsidRPr="00C42E74" w:rsidRDefault="00C42E74" w:rsidP="00C42E74">
            <w:pPr>
              <w:spacing w:after="0"/>
              <w:jc w:val="center"/>
              <w:rPr>
                <w:rFonts w:ascii="Times New Roman" w:hAnsi="Times New Roman" w:cs="Times New Roman"/>
                <w:sz w:val="24"/>
                <w:szCs w:val="24"/>
              </w:rPr>
            </w:pPr>
            <w:r w:rsidRPr="00C42E74">
              <w:rPr>
                <w:rFonts w:ascii="Times New Roman" w:hAnsi="Times New Roman" w:cs="Times New Roman"/>
                <w:sz w:val="24"/>
                <w:szCs w:val="24"/>
              </w:rPr>
              <w:t>Темп роста (снижения), %, разы</w:t>
            </w:r>
          </w:p>
        </w:tc>
      </w:tr>
      <w:tr w:rsidR="00C42E74" w:rsidRPr="00C42E74" w:rsidTr="00C42E74">
        <w:tc>
          <w:tcPr>
            <w:tcW w:w="533"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w:t>
            </w:r>
          </w:p>
        </w:tc>
        <w:tc>
          <w:tcPr>
            <w:tcW w:w="3293" w:type="dxa"/>
          </w:tcPr>
          <w:p w:rsidR="00C42E74" w:rsidRPr="00C42E74" w:rsidRDefault="00C42E74" w:rsidP="00C42E74">
            <w:pPr>
              <w:spacing w:after="0"/>
              <w:rPr>
                <w:rFonts w:ascii="Times New Roman" w:hAnsi="Times New Roman" w:cs="Times New Roman"/>
                <w:sz w:val="28"/>
                <w:szCs w:val="28"/>
              </w:rPr>
            </w:pPr>
            <w:r w:rsidRPr="00C42E74">
              <w:rPr>
                <w:rFonts w:ascii="Times New Roman" w:hAnsi="Times New Roman" w:cs="Times New Roman"/>
                <w:sz w:val="28"/>
                <w:szCs w:val="28"/>
              </w:rPr>
              <w:t>Имущество в хозяйственном ведении</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97 406</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489 587</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5 раз</w:t>
            </w:r>
          </w:p>
        </w:tc>
      </w:tr>
      <w:tr w:rsidR="00C42E74" w:rsidRPr="00C42E74" w:rsidTr="00C42E74">
        <w:tc>
          <w:tcPr>
            <w:tcW w:w="533"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2</w:t>
            </w:r>
          </w:p>
        </w:tc>
        <w:tc>
          <w:tcPr>
            <w:tcW w:w="3293" w:type="dxa"/>
          </w:tcPr>
          <w:p w:rsidR="00C42E74" w:rsidRPr="00C42E74" w:rsidRDefault="00C42E74" w:rsidP="00C42E74">
            <w:pPr>
              <w:spacing w:after="0"/>
              <w:rPr>
                <w:rFonts w:ascii="Times New Roman" w:hAnsi="Times New Roman" w:cs="Times New Roman"/>
                <w:sz w:val="28"/>
                <w:szCs w:val="28"/>
              </w:rPr>
            </w:pPr>
            <w:r w:rsidRPr="00C42E74">
              <w:rPr>
                <w:rFonts w:ascii="Times New Roman" w:hAnsi="Times New Roman" w:cs="Times New Roman"/>
                <w:sz w:val="28"/>
                <w:szCs w:val="28"/>
              </w:rPr>
              <w:t>Имущество в оперативном управлении</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1 450 199</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1 479 266</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102%</w:t>
            </w:r>
          </w:p>
        </w:tc>
      </w:tr>
      <w:tr w:rsidR="00C42E74" w:rsidRPr="00C42E74" w:rsidTr="00C42E74">
        <w:tc>
          <w:tcPr>
            <w:tcW w:w="533"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3</w:t>
            </w:r>
          </w:p>
        </w:tc>
        <w:tc>
          <w:tcPr>
            <w:tcW w:w="3293" w:type="dxa"/>
          </w:tcPr>
          <w:p w:rsidR="00C42E74" w:rsidRPr="00C42E74" w:rsidRDefault="00C42E74" w:rsidP="00C42E74">
            <w:pPr>
              <w:spacing w:after="0"/>
              <w:rPr>
                <w:rFonts w:ascii="Times New Roman" w:hAnsi="Times New Roman" w:cs="Times New Roman"/>
                <w:sz w:val="28"/>
                <w:szCs w:val="28"/>
              </w:rPr>
            </w:pPr>
            <w:r w:rsidRPr="00C42E74">
              <w:rPr>
                <w:rFonts w:ascii="Times New Roman" w:hAnsi="Times New Roman" w:cs="Times New Roman"/>
                <w:sz w:val="28"/>
                <w:szCs w:val="28"/>
              </w:rPr>
              <w:t>Казенное имущество</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1 883 195</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1 529 275</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(19%)</w:t>
            </w:r>
          </w:p>
        </w:tc>
      </w:tr>
      <w:tr w:rsidR="00C42E74" w:rsidRPr="00C42E74" w:rsidTr="00C42E74">
        <w:tc>
          <w:tcPr>
            <w:tcW w:w="533" w:type="dxa"/>
          </w:tcPr>
          <w:p w:rsidR="00C42E74" w:rsidRPr="00C42E74" w:rsidRDefault="00C42E74" w:rsidP="00C42E74">
            <w:pPr>
              <w:spacing w:after="0"/>
              <w:rPr>
                <w:rFonts w:ascii="Times New Roman" w:hAnsi="Times New Roman" w:cs="Times New Roman"/>
                <w:sz w:val="28"/>
                <w:szCs w:val="28"/>
              </w:rPr>
            </w:pPr>
          </w:p>
        </w:tc>
        <w:tc>
          <w:tcPr>
            <w:tcW w:w="3293" w:type="dxa"/>
          </w:tcPr>
          <w:p w:rsidR="00C42E74" w:rsidRPr="00C42E74" w:rsidRDefault="00C42E74" w:rsidP="00C42E74">
            <w:pPr>
              <w:spacing w:after="0"/>
              <w:rPr>
                <w:rFonts w:ascii="Times New Roman" w:hAnsi="Times New Roman" w:cs="Times New Roman"/>
                <w:sz w:val="28"/>
                <w:szCs w:val="28"/>
              </w:rPr>
            </w:pPr>
            <w:r w:rsidRPr="00C42E74">
              <w:rPr>
                <w:rFonts w:ascii="Times New Roman" w:hAnsi="Times New Roman" w:cs="Times New Roman"/>
                <w:sz w:val="28"/>
                <w:szCs w:val="28"/>
              </w:rPr>
              <w:t>ИТОГО:</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3 430 800</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3 498 128</w:t>
            </w:r>
          </w:p>
        </w:tc>
        <w:tc>
          <w:tcPr>
            <w:tcW w:w="1915" w:type="dxa"/>
          </w:tcPr>
          <w:p w:rsidR="00C42E74" w:rsidRPr="00C42E74" w:rsidRDefault="00C42E74" w:rsidP="00C42E74">
            <w:pPr>
              <w:spacing w:after="0"/>
              <w:jc w:val="center"/>
              <w:rPr>
                <w:rFonts w:ascii="Times New Roman" w:hAnsi="Times New Roman" w:cs="Times New Roman"/>
                <w:sz w:val="28"/>
                <w:szCs w:val="28"/>
              </w:rPr>
            </w:pPr>
            <w:r w:rsidRPr="00C42E74">
              <w:rPr>
                <w:rFonts w:ascii="Times New Roman" w:hAnsi="Times New Roman" w:cs="Times New Roman"/>
                <w:sz w:val="28"/>
                <w:szCs w:val="28"/>
              </w:rPr>
              <w:t>102%</w:t>
            </w:r>
          </w:p>
        </w:tc>
      </w:tr>
    </w:tbl>
    <w:p w:rsidR="00C42E74" w:rsidRDefault="00C42E74" w:rsidP="00C42E74">
      <w:pPr>
        <w:rPr>
          <w:b/>
          <w:i/>
        </w:rPr>
      </w:pPr>
    </w:p>
    <w:p w:rsidR="00C42E74" w:rsidRDefault="00C42E74" w:rsidP="00C42E74">
      <w:pPr>
        <w:rPr>
          <w:b/>
          <w:i/>
        </w:rPr>
      </w:pPr>
    </w:p>
    <w:p w:rsidR="00C42E74" w:rsidRPr="00C42E74" w:rsidRDefault="00C42E74" w:rsidP="00C42E74">
      <w:pPr>
        <w:spacing w:after="0"/>
        <w:jc w:val="both"/>
        <w:rPr>
          <w:rFonts w:ascii="Times New Roman" w:hAnsi="Times New Roman" w:cs="Times New Roman"/>
          <w:sz w:val="28"/>
          <w:szCs w:val="28"/>
        </w:rPr>
      </w:pPr>
      <w:r w:rsidRPr="00C42E74">
        <w:rPr>
          <w:rFonts w:ascii="Times New Roman" w:hAnsi="Times New Roman" w:cs="Times New Roman"/>
          <w:i/>
          <w:sz w:val="28"/>
          <w:szCs w:val="28"/>
        </w:rPr>
        <w:t xml:space="preserve">           </w:t>
      </w:r>
      <w:r w:rsidRPr="00C42E74">
        <w:rPr>
          <w:rFonts w:ascii="Times New Roman" w:hAnsi="Times New Roman" w:cs="Times New Roman"/>
          <w:sz w:val="28"/>
          <w:szCs w:val="28"/>
        </w:rPr>
        <w:t>Поступление средств от использования и продажи муниципальной собственности в бюджет района состоит из следующих видов доходов: доходы от сдачи движимого и недвижимого имущества в  аренду;  доходы от продажи земли, имущества, доходы от платы за пользование жилым помещением (плата за наем муниципального жилого фонда).</w:t>
      </w:r>
    </w:p>
    <w:p w:rsidR="00C42E74" w:rsidRPr="00D91B02" w:rsidRDefault="00C42E74" w:rsidP="00C42E74">
      <w:pPr>
        <w:rPr>
          <w:sz w:val="26"/>
          <w:szCs w:val="26"/>
        </w:rPr>
      </w:pPr>
    </w:p>
    <w:p w:rsidR="00C42E74" w:rsidRDefault="00C42E74" w:rsidP="00C42E74">
      <w:r>
        <w:rPr>
          <w:sz w:val="26"/>
          <w:szCs w:val="26"/>
        </w:rPr>
        <w:t xml:space="preserve">                 </w:t>
      </w:r>
      <w:r w:rsidRPr="00C73A51">
        <w:t xml:space="preserve"> </w:t>
      </w:r>
    </w:p>
    <w:p w:rsidR="00C42E74" w:rsidRDefault="00C42E74" w:rsidP="00C42E74"/>
    <w:p w:rsidR="00C42E74" w:rsidRDefault="00C42E74" w:rsidP="00C42E74"/>
    <w:p w:rsidR="00C42E74" w:rsidRDefault="00C42E74" w:rsidP="00C42E74"/>
    <w:p w:rsidR="00C42E74" w:rsidRDefault="00C42E74" w:rsidP="00C42E74"/>
    <w:p w:rsidR="00C42E74" w:rsidRPr="00C42E74" w:rsidRDefault="00C42E74" w:rsidP="00C42E74">
      <w:pPr>
        <w:spacing w:after="0"/>
        <w:rPr>
          <w:rFonts w:ascii="Times New Roman" w:hAnsi="Times New Roman" w:cs="Times New Roman"/>
          <w:b/>
          <w:sz w:val="24"/>
          <w:szCs w:val="24"/>
        </w:rPr>
      </w:pPr>
      <w:r w:rsidRPr="00C42E74">
        <w:rPr>
          <w:rFonts w:ascii="Times New Roman" w:hAnsi="Times New Roman" w:cs="Times New Roman"/>
          <w:b/>
          <w:sz w:val="24"/>
          <w:szCs w:val="24"/>
        </w:rPr>
        <w:lastRenderedPageBreak/>
        <w:t>Сведения о поступлении доходов от использования земель и муниципального</w:t>
      </w:r>
    </w:p>
    <w:p w:rsidR="00C42E74" w:rsidRPr="00C42E74" w:rsidRDefault="00C42E74" w:rsidP="00C42E74">
      <w:pPr>
        <w:spacing w:after="0"/>
        <w:rPr>
          <w:rFonts w:ascii="Times New Roman" w:hAnsi="Times New Roman" w:cs="Times New Roman"/>
          <w:b/>
          <w:sz w:val="24"/>
          <w:szCs w:val="24"/>
        </w:rPr>
      </w:pPr>
      <w:r w:rsidRPr="00C42E74">
        <w:rPr>
          <w:rFonts w:ascii="Times New Roman" w:hAnsi="Times New Roman" w:cs="Times New Roman"/>
          <w:b/>
          <w:sz w:val="24"/>
          <w:szCs w:val="24"/>
        </w:rPr>
        <w:t xml:space="preserve">                       имущества за 2015 год  по видам доходов и в динамике: </w:t>
      </w:r>
    </w:p>
    <w:p w:rsidR="00C42E74" w:rsidRPr="00C73A51" w:rsidRDefault="00C42E74" w:rsidP="00C42E74">
      <w:pPr>
        <w:rPr>
          <w:b/>
          <w:i/>
        </w:rPr>
      </w:pPr>
      <w:r w:rsidRPr="00C73A51">
        <w:rPr>
          <w:b/>
          <w:i/>
        </w:rPr>
        <w:t xml:space="preserve">            </w:t>
      </w:r>
    </w:p>
    <w:tbl>
      <w:tblPr>
        <w:tblW w:w="10065" w:type="dxa"/>
        <w:tblInd w:w="-386" w:type="dxa"/>
        <w:tblLayout w:type="fixed"/>
        <w:tblCellMar>
          <w:left w:w="40" w:type="dxa"/>
          <w:right w:w="40" w:type="dxa"/>
        </w:tblCellMar>
        <w:tblLook w:val="0000"/>
      </w:tblPr>
      <w:tblGrid>
        <w:gridCol w:w="925"/>
        <w:gridCol w:w="3754"/>
        <w:gridCol w:w="1007"/>
        <w:gridCol w:w="845"/>
        <w:gridCol w:w="983"/>
        <w:gridCol w:w="909"/>
        <w:gridCol w:w="9"/>
        <w:gridCol w:w="807"/>
        <w:gridCol w:w="9"/>
        <w:gridCol w:w="817"/>
      </w:tblGrid>
      <w:tr w:rsidR="00C42E74" w:rsidTr="00C42E74">
        <w:trPr>
          <w:trHeight w:hRule="exact" w:val="902"/>
        </w:trPr>
        <w:tc>
          <w:tcPr>
            <w:tcW w:w="925" w:type="dxa"/>
            <w:vMerge w:val="restart"/>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shd w:val="clear" w:color="auto" w:fill="FFFFFF"/>
              <w:ind w:left="24"/>
            </w:pPr>
            <w:r w:rsidRPr="00A512E0">
              <w:rPr>
                <w:b/>
                <w:bCs/>
                <w:color w:val="000000"/>
                <w:w w:val="90"/>
              </w:rPr>
              <w:t>№</w:t>
            </w:r>
          </w:p>
          <w:p w:rsidR="00C42E74" w:rsidRPr="00A512E0" w:rsidRDefault="00C42E74" w:rsidP="00E1134A">
            <w:pPr>
              <w:widowControl w:val="0"/>
              <w:shd w:val="clear" w:color="auto" w:fill="FFFFFF"/>
              <w:autoSpaceDE w:val="0"/>
              <w:autoSpaceDN w:val="0"/>
              <w:adjustRightInd w:val="0"/>
              <w:ind w:left="24"/>
            </w:pPr>
            <w:r w:rsidRPr="00A512E0">
              <w:rPr>
                <w:b/>
                <w:bCs/>
                <w:color w:val="000000"/>
                <w:spacing w:val="-11"/>
                <w:w w:val="90"/>
              </w:rPr>
              <w:t>п/п</w:t>
            </w:r>
          </w:p>
        </w:tc>
        <w:tc>
          <w:tcPr>
            <w:tcW w:w="3754" w:type="dxa"/>
            <w:vMerge w:val="restart"/>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shd w:val="clear" w:color="auto" w:fill="FFFFFF"/>
              <w:ind w:left="1195"/>
              <w:rPr>
                <w:color w:val="000000"/>
                <w:spacing w:val="-3"/>
              </w:rPr>
            </w:pPr>
          </w:p>
          <w:p w:rsidR="00C42E74" w:rsidRPr="00A512E0" w:rsidRDefault="00C42E74" w:rsidP="00E1134A">
            <w:pPr>
              <w:shd w:val="clear" w:color="auto" w:fill="FFFFFF"/>
              <w:ind w:left="1195"/>
              <w:rPr>
                <w:color w:val="000000"/>
                <w:spacing w:val="-3"/>
              </w:rPr>
            </w:pPr>
          </w:p>
          <w:p w:rsidR="00C42E74" w:rsidRPr="00A512E0" w:rsidRDefault="00C42E74" w:rsidP="00E1134A">
            <w:pPr>
              <w:shd w:val="clear" w:color="auto" w:fill="FFFFFF"/>
              <w:ind w:left="1195"/>
              <w:rPr>
                <w:color w:val="000000"/>
                <w:spacing w:val="-3"/>
              </w:rPr>
            </w:pPr>
          </w:p>
          <w:p w:rsidR="00C42E74" w:rsidRPr="00A512E0" w:rsidRDefault="00C42E74" w:rsidP="00E1134A">
            <w:pPr>
              <w:widowControl w:val="0"/>
              <w:shd w:val="clear" w:color="auto" w:fill="FFFFFF"/>
              <w:autoSpaceDE w:val="0"/>
              <w:autoSpaceDN w:val="0"/>
              <w:adjustRightInd w:val="0"/>
              <w:ind w:left="1195"/>
            </w:pPr>
            <w:r w:rsidRPr="00A512E0">
              <w:rPr>
                <w:color w:val="000000"/>
                <w:spacing w:val="-3"/>
              </w:rPr>
              <w:t>Виды доходов</w:t>
            </w:r>
          </w:p>
        </w:tc>
        <w:tc>
          <w:tcPr>
            <w:tcW w:w="5386"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230" w:lineRule="exact"/>
              <w:jc w:val="center"/>
            </w:pPr>
            <w:r w:rsidRPr="00A512E0">
              <w:rPr>
                <w:color w:val="000000"/>
                <w:spacing w:val="-3"/>
              </w:rPr>
              <w:t>Поступление доходов в бюджет муниципального образо</w:t>
            </w:r>
            <w:r w:rsidRPr="00A512E0">
              <w:rPr>
                <w:color w:val="000000"/>
                <w:spacing w:val="-3"/>
              </w:rPr>
              <w:softHyphen/>
            </w:r>
            <w:r w:rsidRPr="00A512E0">
              <w:rPr>
                <w:color w:val="000000"/>
                <w:spacing w:val="-2"/>
              </w:rPr>
              <w:t xml:space="preserve">вания от использования муниципального имущества </w:t>
            </w:r>
            <w:r w:rsidRPr="00A512E0">
              <w:rPr>
                <w:color w:val="000000"/>
                <w:spacing w:val="-3"/>
              </w:rPr>
              <w:t>(тыс.руб.)</w:t>
            </w:r>
          </w:p>
        </w:tc>
      </w:tr>
      <w:tr w:rsidR="00C42E74" w:rsidTr="00C42E74">
        <w:trPr>
          <w:trHeight w:hRule="exact" w:val="384"/>
        </w:trPr>
        <w:tc>
          <w:tcPr>
            <w:tcW w:w="925" w:type="dxa"/>
            <w:vMerge/>
            <w:tcBorders>
              <w:top w:val="single" w:sz="6" w:space="0" w:color="auto"/>
              <w:left w:val="single" w:sz="6" w:space="0" w:color="auto"/>
              <w:bottom w:val="single" w:sz="6" w:space="0" w:color="auto"/>
              <w:right w:val="single" w:sz="6" w:space="0" w:color="auto"/>
            </w:tcBorders>
            <w:vAlign w:val="center"/>
          </w:tcPr>
          <w:p w:rsidR="00C42E74" w:rsidRPr="00A512E0" w:rsidRDefault="00C42E74" w:rsidP="00E1134A"/>
        </w:tc>
        <w:tc>
          <w:tcPr>
            <w:tcW w:w="3754" w:type="dxa"/>
            <w:vMerge/>
            <w:tcBorders>
              <w:top w:val="single" w:sz="6" w:space="0" w:color="auto"/>
              <w:left w:val="single" w:sz="6" w:space="0" w:color="auto"/>
              <w:bottom w:val="single" w:sz="6" w:space="0" w:color="auto"/>
              <w:right w:val="single" w:sz="6" w:space="0" w:color="auto"/>
            </w:tcBorders>
            <w:vAlign w:val="center"/>
          </w:tcPr>
          <w:p w:rsidR="00C42E74" w:rsidRPr="00A512E0" w:rsidRDefault="00C42E74" w:rsidP="00E1134A"/>
        </w:tc>
        <w:tc>
          <w:tcPr>
            <w:tcW w:w="283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2" w:lineRule="exact"/>
              <w:ind w:left="5" w:right="24"/>
              <w:jc w:val="center"/>
            </w:pPr>
            <w:r w:rsidRPr="00A512E0">
              <w:rPr>
                <w:color w:val="000000"/>
                <w:spacing w:val="-3"/>
              </w:rPr>
              <w:t>20</w:t>
            </w:r>
            <w:r>
              <w:rPr>
                <w:color w:val="000000"/>
                <w:spacing w:val="-3"/>
              </w:rPr>
              <w:t>14</w:t>
            </w:r>
            <w:r w:rsidRPr="00A512E0">
              <w:rPr>
                <w:color w:val="000000"/>
                <w:spacing w:val="-3"/>
              </w:rPr>
              <w:t xml:space="preserve"> г.</w:t>
            </w:r>
          </w:p>
        </w:tc>
        <w:tc>
          <w:tcPr>
            <w:tcW w:w="2551"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2" w:lineRule="exact"/>
              <w:ind w:left="5" w:right="24"/>
              <w:jc w:val="center"/>
            </w:pPr>
            <w:r w:rsidRPr="00A512E0">
              <w:rPr>
                <w:color w:val="000000"/>
                <w:spacing w:val="-3"/>
              </w:rPr>
              <w:t>20</w:t>
            </w:r>
            <w:r>
              <w:rPr>
                <w:color w:val="000000"/>
                <w:spacing w:val="-3"/>
              </w:rPr>
              <w:t>15</w:t>
            </w:r>
            <w:r w:rsidRPr="00A512E0">
              <w:rPr>
                <w:color w:val="000000"/>
                <w:spacing w:val="-3"/>
              </w:rPr>
              <w:t xml:space="preserve"> г.</w:t>
            </w:r>
          </w:p>
        </w:tc>
      </w:tr>
      <w:tr w:rsidR="00C42E74" w:rsidTr="00C42E74">
        <w:trPr>
          <w:trHeight w:hRule="exact" w:val="558"/>
        </w:trPr>
        <w:tc>
          <w:tcPr>
            <w:tcW w:w="925" w:type="dxa"/>
            <w:vMerge/>
            <w:tcBorders>
              <w:top w:val="single" w:sz="6" w:space="0" w:color="auto"/>
              <w:left w:val="single" w:sz="6" w:space="0" w:color="auto"/>
              <w:bottom w:val="single" w:sz="6" w:space="0" w:color="auto"/>
              <w:right w:val="single" w:sz="6" w:space="0" w:color="auto"/>
            </w:tcBorders>
            <w:vAlign w:val="center"/>
          </w:tcPr>
          <w:p w:rsidR="00C42E74" w:rsidRPr="00A512E0" w:rsidRDefault="00C42E74" w:rsidP="00E1134A"/>
        </w:tc>
        <w:tc>
          <w:tcPr>
            <w:tcW w:w="3754" w:type="dxa"/>
            <w:vMerge/>
            <w:tcBorders>
              <w:top w:val="single" w:sz="6" w:space="0" w:color="auto"/>
              <w:left w:val="single" w:sz="6" w:space="0" w:color="auto"/>
              <w:bottom w:val="single" w:sz="6" w:space="0" w:color="auto"/>
              <w:right w:val="single" w:sz="6" w:space="0" w:color="auto"/>
            </w:tcBorders>
            <w:vAlign w:val="center"/>
          </w:tcPr>
          <w:p w:rsidR="00C42E74" w:rsidRPr="00A512E0" w:rsidRDefault="00C42E74" w:rsidP="00E1134A"/>
        </w:tc>
        <w:tc>
          <w:tcPr>
            <w:tcW w:w="1007" w:type="dxa"/>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7" w:lineRule="exact"/>
              <w:ind w:right="144" w:firstLine="5"/>
              <w:jc w:val="center"/>
            </w:pPr>
            <w:r w:rsidRPr="00A512E0">
              <w:rPr>
                <w:color w:val="000000"/>
                <w:spacing w:val="-3"/>
              </w:rPr>
              <w:t>План.</w:t>
            </w:r>
          </w:p>
        </w:tc>
        <w:tc>
          <w:tcPr>
            <w:tcW w:w="845" w:type="dxa"/>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7" w:lineRule="exact"/>
              <w:ind w:firstLine="5"/>
              <w:jc w:val="center"/>
            </w:pPr>
            <w:r w:rsidRPr="00A512E0">
              <w:rPr>
                <w:color w:val="000000"/>
                <w:spacing w:val="-4"/>
              </w:rPr>
              <w:t>Факт.</w:t>
            </w:r>
          </w:p>
        </w:tc>
        <w:tc>
          <w:tcPr>
            <w:tcW w:w="983" w:type="dxa"/>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2" w:lineRule="exact"/>
              <w:ind w:left="5" w:right="24"/>
              <w:jc w:val="center"/>
            </w:pPr>
            <w:r w:rsidRPr="00A512E0">
              <w:rPr>
                <w:color w:val="000000"/>
                <w:spacing w:val="-3"/>
              </w:rPr>
              <w:t>% отклоне</w:t>
            </w:r>
            <w:r w:rsidRPr="00A512E0">
              <w:rPr>
                <w:color w:val="000000"/>
                <w:spacing w:val="-3"/>
              </w:rPr>
              <w:softHyphen/>
            </w:r>
            <w:r w:rsidRPr="00A512E0">
              <w:rPr>
                <w:color w:val="000000"/>
                <w:spacing w:val="-7"/>
              </w:rPr>
              <w:t>ни</w:t>
            </w:r>
            <w:r>
              <w:rPr>
                <w:color w:val="000000"/>
                <w:spacing w:val="-7"/>
              </w:rPr>
              <w:t>я</w:t>
            </w:r>
          </w:p>
        </w:tc>
        <w:tc>
          <w:tcPr>
            <w:tcW w:w="909" w:type="dxa"/>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7" w:lineRule="exact"/>
              <w:ind w:right="144" w:firstLine="5"/>
              <w:jc w:val="center"/>
            </w:pPr>
            <w:r w:rsidRPr="00A512E0">
              <w:rPr>
                <w:color w:val="000000"/>
                <w:spacing w:val="-3"/>
              </w:rPr>
              <w:t>План.</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7" w:lineRule="exact"/>
              <w:ind w:firstLine="5"/>
              <w:jc w:val="center"/>
            </w:pPr>
            <w:r w:rsidRPr="00A512E0">
              <w:rPr>
                <w:color w:val="000000"/>
                <w:spacing w:val="-4"/>
              </w:rPr>
              <w:t>Факт.</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42E74" w:rsidRPr="00A512E0" w:rsidRDefault="00C42E74" w:rsidP="00C42E74">
            <w:pPr>
              <w:widowControl w:val="0"/>
              <w:shd w:val="clear" w:color="auto" w:fill="FFFFFF"/>
              <w:autoSpaceDE w:val="0"/>
              <w:autoSpaceDN w:val="0"/>
              <w:adjustRightInd w:val="0"/>
              <w:spacing w:line="182" w:lineRule="exact"/>
              <w:ind w:left="5" w:right="24"/>
              <w:jc w:val="center"/>
            </w:pPr>
            <w:r w:rsidRPr="00A512E0">
              <w:rPr>
                <w:color w:val="000000"/>
                <w:spacing w:val="-3"/>
              </w:rPr>
              <w:t>%</w:t>
            </w:r>
            <w:r>
              <w:rPr>
                <w:color w:val="000000"/>
                <w:spacing w:val="-3"/>
              </w:rPr>
              <w:t xml:space="preserve"> </w:t>
            </w:r>
            <w:r w:rsidRPr="00A512E0">
              <w:rPr>
                <w:color w:val="000000"/>
                <w:spacing w:val="-3"/>
              </w:rPr>
              <w:t>отклоне</w:t>
            </w:r>
            <w:r w:rsidRPr="00A512E0">
              <w:rPr>
                <w:color w:val="000000"/>
                <w:spacing w:val="-3"/>
              </w:rPr>
              <w:softHyphen/>
            </w:r>
            <w:r w:rsidRPr="00A512E0">
              <w:rPr>
                <w:color w:val="000000"/>
                <w:spacing w:val="-7"/>
              </w:rPr>
              <w:t>ни</w:t>
            </w:r>
            <w:r>
              <w:rPr>
                <w:color w:val="000000"/>
                <w:spacing w:val="-7"/>
              </w:rPr>
              <w:t>я</w:t>
            </w:r>
          </w:p>
        </w:tc>
      </w:tr>
      <w:tr w:rsidR="00C42E74" w:rsidTr="00C42E74">
        <w:trPr>
          <w:trHeight w:hRule="exact" w:val="259"/>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106"/>
            </w:pPr>
            <w:r w:rsidRPr="00A512E0">
              <w:rPr>
                <w:color w:val="000000"/>
              </w:rPr>
              <w:t>1</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1795"/>
            </w:pPr>
            <w:r w:rsidRPr="00A512E0">
              <w:rPr>
                <w:color w:val="000000"/>
              </w:rPr>
              <w:t>2</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6</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60"/>
            </w:pPr>
            <w:r w:rsidRPr="00A512E0">
              <w:rPr>
                <w:color w:val="000000"/>
                <w:spacing w:val="-4"/>
              </w:rPr>
              <w:t>8</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6</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7</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60"/>
            </w:pPr>
            <w:r w:rsidRPr="00A512E0">
              <w:rPr>
                <w:color w:val="000000"/>
                <w:spacing w:val="-4"/>
              </w:rPr>
              <w:t>8</w:t>
            </w:r>
          </w:p>
        </w:tc>
      </w:tr>
      <w:tr w:rsidR="00C42E74" w:rsidTr="00C42E74">
        <w:trPr>
          <w:trHeight w:hRule="exact" w:val="557"/>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64"/>
              <w:jc w:val="center"/>
            </w:pPr>
            <w:r w:rsidRPr="00A512E0">
              <w:rPr>
                <w:color w:val="000000"/>
              </w:rPr>
              <w:t>1</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30" w:lineRule="exact"/>
              <w:ind w:hanging="5"/>
            </w:pPr>
            <w:r w:rsidRPr="00A512E0">
              <w:rPr>
                <w:color w:val="000000"/>
                <w:spacing w:val="-2"/>
              </w:rPr>
              <w:t>Доходы от приватизации муниципально</w:t>
            </w:r>
            <w:r w:rsidRPr="00A512E0">
              <w:rPr>
                <w:color w:val="000000"/>
                <w:spacing w:val="-2"/>
              </w:rPr>
              <w:softHyphen/>
              <w:t>го имущества всего:</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1000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11840,7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ind w:left="91"/>
              <w:jc w:val="center"/>
            </w:pPr>
            <w:r>
              <w:t>1184</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8461</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11391</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ind w:left="91"/>
              <w:jc w:val="center"/>
            </w:pPr>
            <w:r>
              <w:t>134,6</w:t>
            </w:r>
          </w:p>
        </w:tc>
      </w:tr>
      <w:tr w:rsidR="00C42E74" w:rsidTr="00C42E74">
        <w:trPr>
          <w:trHeight w:hRule="exact" w:val="1215"/>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545454"/>
                <w:spacing w:val="-12"/>
              </w:rPr>
              <w:t>1.1.</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30" w:lineRule="exact"/>
              <w:ind w:right="130" w:firstLine="10"/>
            </w:pPr>
            <w:r w:rsidRPr="00A512E0">
              <w:rPr>
                <w:color w:val="000000"/>
              </w:rPr>
              <w:t xml:space="preserve">в том числе: от продажи акций и иных </w:t>
            </w:r>
            <w:r w:rsidRPr="00A512E0">
              <w:rPr>
                <w:color w:val="000000"/>
                <w:spacing w:val="-2"/>
              </w:rPr>
              <w:t>форм участия в капитале юридических лиц, находящихся в собственности му</w:t>
            </w:r>
            <w:r w:rsidRPr="00A512E0">
              <w:rPr>
                <w:color w:val="000000"/>
                <w:spacing w:val="-2"/>
              </w:rPr>
              <w:softHyphen/>
            </w:r>
            <w:r w:rsidRPr="00A512E0">
              <w:rPr>
                <w:color w:val="000000"/>
              </w:rPr>
              <w:t>ниципальных образований</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60"/>
            </w:pPr>
            <w:r>
              <w:t>0</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1988</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60"/>
            </w:pPr>
            <w:r>
              <w:t>-</w:t>
            </w:r>
          </w:p>
        </w:tc>
      </w:tr>
      <w:tr w:rsidR="00C42E74" w:rsidTr="00C42E74">
        <w:trPr>
          <w:trHeight w:hRule="exact" w:val="490"/>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545454"/>
                <w:spacing w:val="-11"/>
              </w:rPr>
              <w:t>1.2.</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30" w:lineRule="exact"/>
              <w:ind w:firstLine="5"/>
            </w:pPr>
            <w:r w:rsidRPr="00A512E0">
              <w:rPr>
                <w:color w:val="000000"/>
                <w:spacing w:val="-2"/>
              </w:rPr>
              <w:t xml:space="preserve">от продажи объектов недвижимости (без </w:t>
            </w:r>
            <w:r w:rsidRPr="00A512E0">
              <w:rPr>
                <w:color w:val="000000"/>
              </w:rPr>
              <w:t>земельных участков)</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11416</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91"/>
              <w:jc w:val="center"/>
            </w:pPr>
            <w:r>
              <w:t>-</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7461</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8183</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91"/>
              <w:jc w:val="center"/>
            </w:pPr>
            <w:r>
              <w:t>109,6</w:t>
            </w:r>
          </w:p>
        </w:tc>
      </w:tr>
      <w:tr w:rsidR="00C42E74" w:rsidTr="00C42E74">
        <w:trPr>
          <w:trHeight w:hRule="exact" w:val="470"/>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545454"/>
                <w:spacing w:val="-12"/>
              </w:rPr>
              <w:t>1.3.</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Default="00C42E74" w:rsidP="00E1134A">
            <w:pPr>
              <w:widowControl w:val="0"/>
              <w:shd w:val="clear" w:color="auto" w:fill="FFFFFF"/>
              <w:autoSpaceDE w:val="0"/>
              <w:autoSpaceDN w:val="0"/>
              <w:adjustRightInd w:val="0"/>
              <w:rPr>
                <w:color w:val="000000"/>
                <w:spacing w:val="-2"/>
              </w:rPr>
            </w:pPr>
            <w:r w:rsidRPr="00A512E0">
              <w:rPr>
                <w:color w:val="000000"/>
                <w:spacing w:val="-2"/>
              </w:rPr>
              <w:t>от продажи земельных участков</w:t>
            </w:r>
            <w:r>
              <w:rPr>
                <w:color w:val="000000"/>
                <w:spacing w:val="-2"/>
              </w:rPr>
              <w:t xml:space="preserve">: </w:t>
            </w:r>
          </w:p>
          <w:p w:rsidR="00C42E74" w:rsidRPr="00A512E0" w:rsidRDefault="00C42E74" w:rsidP="00E1134A">
            <w:pPr>
              <w:widowControl w:val="0"/>
              <w:shd w:val="clear" w:color="auto" w:fill="FFFFFF"/>
              <w:autoSpaceDE w:val="0"/>
              <w:autoSpaceDN w:val="0"/>
              <w:adjustRightInd w:val="0"/>
            </w:pP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jc w:val="center"/>
            </w:pPr>
            <w:r>
              <w:t>1000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jc w:val="center"/>
            </w:pPr>
            <w:r>
              <w:t>405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pPr>
            <w:r>
              <w:t xml:space="preserve">  (40,5)</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jc w:val="center"/>
            </w:pPr>
            <w:r>
              <w:t>1000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jc w:val="center"/>
            </w:pPr>
            <w:r>
              <w:t>669</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665AB9" w:rsidRDefault="00C42E74" w:rsidP="00E1134A">
            <w:pPr>
              <w:widowControl w:val="0"/>
              <w:shd w:val="clear" w:color="auto" w:fill="FFFFFF"/>
              <w:autoSpaceDE w:val="0"/>
              <w:autoSpaceDN w:val="0"/>
              <w:adjustRightInd w:val="0"/>
            </w:pPr>
            <w:r>
              <w:t xml:space="preserve"> (66,9)</w:t>
            </w:r>
          </w:p>
        </w:tc>
      </w:tr>
      <w:tr w:rsidR="00C42E74" w:rsidTr="00C42E74">
        <w:trPr>
          <w:trHeight w:hRule="exact" w:val="355"/>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545454"/>
                <w:spacing w:val="-12"/>
              </w:rPr>
              <w:t>1.4.</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pPr>
            <w:r w:rsidRPr="00A512E0">
              <w:rPr>
                <w:color w:val="000000"/>
                <w:spacing w:val="-2"/>
              </w:rPr>
              <w:t>от продажи имущественных комплексов</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r>
      <w:tr w:rsidR="00C42E74" w:rsidTr="00C42E74">
        <w:trPr>
          <w:trHeight w:hRule="exact" w:val="403"/>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spacing w:val="-14"/>
              </w:rPr>
              <w:t>1.5.</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pPr>
            <w:r w:rsidRPr="00A512E0">
              <w:rPr>
                <w:color w:val="000000"/>
                <w:spacing w:val="-2"/>
              </w:rPr>
              <w:t>от продажи иного имущества</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19,7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35"/>
            </w:pPr>
            <w:r>
              <w:t xml:space="preserve">  -</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551</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35"/>
            </w:pPr>
            <w:r>
              <w:t>-</w:t>
            </w:r>
          </w:p>
        </w:tc>
      </w:tr>
      <w:tr w:rsidR="00C42E74" w:rsidTr="00C42E74">
        <w:trPr>
          <w:trHeight w:hRule="exact" w:val="758"/>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40"/>
            </w:pPr>
            <w:r w:rsidRPr="00A512E0">
              <w:rPr>
                <w:color w:val="000000"/>
              </w:rPr>
              <w:t>2</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26" w:lineRule="exact"/>
              <w:ind w:right="139" w:hanging="10"/>
            </w:pPr>
            <w:r w:rsidRPr="00A512E0">
              <w:rPr>
                <w:color w:val="000000"/>
              </w:rPr>
              <w:t xml:space="preserve">Доходы от аренды муниципального </w:t>
            </w:r>
            <w:r w:rsidRPr="00A512E0">
              <w:rPr>
                <w:color w:val="000000"/>
                <w:spacing w:val="-2"/>
              </w:rPr>
              <w:t>имущества (без доходов от аренды зе</w:t>
            </w:r>
            <w:r w:rsidRPr="00A512E0">
              <w:rPr>
                <w:color w:val="000000"/>
                <w:spacing w:val="-2"/>
              </w:rPr>
              <w:softHyphen/>
            </w:r>
            <w:r w:rsidRPr="00A512E0">
              <w:rPr>
                <w:color w:val="000000"/>
                <w:spacing w:val="-1"/>
              </w:rPr>
              <w:t>мельных участков)</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14000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14151</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101</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9450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9955</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105,3</w:t>
            </w:r>
          </w:p>
        </w:tc>
      </w:tr>
      <w:tr w:rsidR="00C42E74" w:rsidTr="00C42E74">
        <w:trPr>
          <w:trHeight w:hRule="exact" w:val="422"/>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45"/>
            </w:pPr>
            <w:r w:rsidRPr="00A512E0">
              <w:rPr>
                <w:color w:val="000000"/>
              </w:rPr>
              <w:t>3</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pPr>
            <w:r w:rsidRPr="00A512E0">
              <w:rPr>
                <w:color w:val="000000"/>
                <w:spacing w:val="-2"/>
              </w:rPr>
              <w:t>Доходы от аренды земельных участков</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58410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60924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104,3</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67354</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66628</w:t>
            </w:r>
          </w:p>
        </w:tc>
        <w:tc>
          <w:tcPr>
            <w:tcW w:w="82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8F489E" w:rsidRDefault="00C42E74" w:rsidP="00E1134A">
            <w:pPr>
              <w:widowControl w:val="0"/>
              <w:shd w:val="clear" w:color="auto" w:fill="FFFFFF"/>
              <w:autoSpaceDE w:val="0"/>
              <w:autoSpaceDN w:val="0"/>
              <w:adjustRightInd w:val="0"/>
              <w:jc w:val="center"/>
            </w:pPr>
            <w:r>
              <w:t>(98,9)</w:t>
            </w:r>
          </w:p>
        </w:tc>
      </w:tr>
      <w:tr w:rsidR="00C42E74" w:rsidTr="00C42E74">
        <w:trPr>
          <w:trHeight w:hRule="exact" w:val="1229"/>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4</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26" w:lineRule="exact"/>
              <w:ind w:right="10"/>
            </w:pPr>
            <w:r w:rsidRPr="00A512E0">
              <w:rPr>
                <w:color w:val="000000"/>
                <w:spacing w:val="1"/>
              </w:rPr>
              <w:t>Доходы от перечисления прибыли, ос</w:t>
            </w:r>
            <w:r w:rsidRPr="00A512E0">
              <w:rPr>
                <w:color w:val="000000"/>
                <w:spacing w:val="1"/>
              </w:rPr>
              <w:softHyphen/>
            </w:r>
            <w:r w:rsidRPr="00A512E0">
              <w:rPr>
                <w:color w:val="000000"/>
                <w:spacing w:val="-1"/>
              </w:rPr>
              <w:t xml:space="preserve">тающейся после перечисления налогов </w:t>
            </w:r>
            <w:r w:rsidRPr="00A512E0">
              <w:rPr>
                <w:color w:val="000000"/>
                <w:spacing w:val="-2"/>
              </w:rPr>
              <w:t>и иных обязательных платежей муници</w:t>
            </w:r>
            <w:r w:rsidRPr="00A512E0">
              <w:rPr>
                <w:color w:val="000000"/>
                <w:spacing w:val="-2"/>
              </w:rPr>
              <w:softHyphen/>
            </w:r>
            <w:r w:rsidRPr="00A512E0">
              <w:rPr>
                <w:color w:val="000000"/>
              </w:rPr>
              <w:t>пальных унитарных предприятий</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50"/>
            </w:pPr>
            <w:r>
              <w:t>0</w:t>
            </w:r>
          </w:p>
        </w:tc>
        <w:tc>
          <w:tcPr>
            <w:tcW w:w="918"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350"/>
            </w:pPr>
            <w:r>
              <w:t>0</w:t>
            </w:r>
          </w:p>
        </w:tc>
      </w:tr>
      <w:tr w:rsidR="00C42E74" w:rsidTr="00C42E74">
        <w:trPr>
          <w:trHeight w:hRule="exact" w:val="1193"/>
        </w:trPr>
        <w:tc>
          <w:tcPr>
            <w:tcW w:w="92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rsidRPr="00A512E0">
              <w:rPr>
                <w:color w:val="000000"/>
              </w:rPr>
              <w:t>5</w:t>
            </w:r>
          </w:p>
        </w:tc>
        <w:tc>
          <w:tcPr>
            <w:tcW w:w="3754"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spacing w:line="226" w:lineRule="exact"/>
              <w:ind w:right="34" w:hanging="10"/>
              <w:jc w:val="both"/>
            </w:pPr>
            <w:r w:rsidRPr="00A512E0">
              <w:rPr>
                <w:color w:val="000000"/>
              </w:rPr>
              <w:t>Дивиденды по акциям и доходы от про</w:t>
            </w:r>
            <w:r w:rsidRPr="00A512E0">
              <w:rPr>
                <w:color w:val="000000"/>
              </w:rPr>
              <w:softHyphen/>
            </w:r>
            <w:r w:rsidRPr="00A512E0">
              <w:rPr>
                <w:color w:val="000000"/>
                <w:spacing w:val="-2"/>
              </w:rPr>
              <w:t>чих форм участия в капитале юридиче</w:t>
            </w:r>
            <w:r w:rsidRPr="00A512E0">
              <w:rPr>
                <w:color w:val="000000"/>
                <w:spacing w:val="-2"/>
              </w:rPr>
              <w:softHyphen/>
              <w:t xml:space="preserve">ских лиц, находящихся в собственности </w:t>
            </w:r>
            <w:r w:rsidRPr="00A512E0">
              <w:rPr>
                <w:color w:val="000000"/>
              </w:rPr>
              <w:t>муниципальных образований</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40"/>
            </w:pPr>
            <w:r>
              <w:t xml:space="preserve">  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918"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ind w:left="240"/>
            </w:pPr>
            <w:r>
              <w:t>0</w:t>
            </w:r>
          </w:p>
        </w:tc>
        <w:tc>
          <w:tcPr>
            <w:tcW w:w="81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0</w:t>
            </w:r>
          </w:p>
        </w:tc>
      </w:tr>
      <w:tr w:rsidR="00C42E74" w:rsidTr="00C42E74">
        <w:trPr>
          <w:trHeight w:hRule="exact" w:val="298"/>
        </w:trPr>
        <w:tc>
          <w:tcPr>
            <w:tcW w:w="4679"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D43741" w:rsidRDefault="00C42E74" w:rsidP="00E1134A">
            <w:pPr>
              <w:widowControl w:val="0"/>
              <w:shd w:val="clear" w:color="auto" w:fill="FFFFFF"/>
              <w:autoSpaceDE w:val="0"/>
              <w:autoSpaceDN w:val="0"/>
              <w:adjustRightInd w:val="0"/>
              <w:rPr>
                <w:b/>
              </w:rPr>
            </w:pPr>
            <w:r w:rsidRPr="00D43741">
              <w:rPr>
                <w:b/>
                <w:color w:val="434343"/>
                <w:spacing w:val="-3"/>
              </w:rPr>
              <w:t>Итого доходов</w:t>
            </w:r>
          </w:p>
        </w:tc>
        <w:tc>
          <w:tcPr>
            <w:tcW w:w="100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73410</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86915,7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118</w:t>
            </w:r>
          </w:p>
        </w:tc>
        <w:tc>
          <w:tcPr>
            <w:tcW w:w="918"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 xml:space="preserve">85265 </w:t>
            </w:r>
          </w:p>
        </w:tc>
        <w:tc>
          <w:tcPr>
            <w:tcW w:w="816" w:type="dxa"/>
            <w:gridSpan w:val="2"/>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87974</w:t>
            </w:r>
          </w:p>
        </w:tc>
        <w:tc>
          <w:tcPr>
            <w:tcW w:w="817" w:type="dxa"/>
            <w:tcBorders>
              <w:top w:val="single" w:sz="6" w:space="0" w:color="auto"/>
              <w:left w:val="single" w:sz="6" w:space="0" w:color="auto"/>
              <w:bottom w:val="single" w:sz="6" w:space="0" w:color="auto"/>
              <w:right w:val="single" w:sz="6" w:space="0" w:color="auto"/>
            </w:tcBorders>
            <w:shd w:val="clear" w:color="auto" w:fill="FFFFFF"/>
          </w:tcPr>
          <w:p w:rsidR="00C42E74" w:rsidRPr="00A512E0" w:rsidRDefault="00C42E74" w:rsidP="00E1134A">
            <w:pPr>
              <w:widowControl w:val="0"/>
              <w:shd w:val="clear" w:color="auto" w:fill="FFFFFF"/>
              <w:autoSpaceDE w:val="0"/>
              <w:autoSpaceDN w:val="0"/>
              <w:adjustRightInd w:val="0"/>
              <w:jc w:val="center"/>
            </w:pPr>
            <w:r>
              <w:t>103,18</w:t>
            </w:r>
          </w:p>
        </w:tc>
      </w:tr>
    </w:tbl>
    <w:p w:rsidR="00C42E74" w:rsidRPr="00C42E74" w:rsidRDefault="00C42E74" w:rsidP="00C42E74">
      <w:pPr>
        <w:spacing w:after="0"/>
        <w:jc w:val="both"/>
        <w:rPr>
          <w:rFonts w:ascii="Times New Roman" w:hAnsi="Times New Roman" w:cs="Times New Roman"/>
          <w:color w:val="000000"/>
          <w:sz w:val="28"/>
          <w:szCs w:val="28"/>
        </w:rPr>
      </w:pPr>
      <w:r w:rsidRPr="00C42E74">
        <w:rPr>
          <w:rFonts w:ascii="Times New Roman" w:hAnsi="Times New Roman" w:cs="Times New Roman"/>
          <w:color w:val="000000"/>
          <w:sz w:val="28"/>
          <w:szCs w:val="28"/>
        </w:rPr>
        <w:t xml:space="preserve">           </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sz w:val="28"/>
          <w:szCs w:val="28"/>
        </w:rPr>
      </w:pPr>
      <w:r w:rsidRPr="00C42E74">
        <w:rPr>
          <w:rFonts w:ascii="Times New Roman" w:hAnsi="Times New Roman" w:cs="Times New Roman"/>
          <w:color w:val="000000"/>
          <w:spacing w:val="1"/>
          <w:sz w:val="28"/>
          <w:szCs w:val="28"/>
        </w:rPr>
        <w:t>В 2015 году в целях поддержки предприятий ЖКХ были приобретены</w:t>
      </w:r>
      <w:r w:rsidRPr="00C42E74">
        <w:rPr>
          <w:rFonts w:ascii="Times New Roman" w:hAnsi="Times New Roman" w:cs="Times New Roman"/>
          <w:sz w:val="28"/>
          <w:szCs w:val="28"/>
        </w:rPr>
        <w:t xml:space="preserve"> металлические контейнеры для сбора твердых бытовых отходов объемом </w:t>
      </w:r>
      <w:smartTag w:uri="urn:schemas-microsoft-com:office:smarttags" w:element="metricconverter">
        <w:smartTagPr>
          <w:attr w:name="ProductID" w:val="0,75 м3"/>
        </w:smartTagPr>
        <w:r w:rsidRPr="00C42E74">
          <w:rPr>
            <w:rFonts w:ascii="Times New Roman" w:hAnsi="Times New Roman" w:cs="Times New Roman"/>
            <w:sz w:val="28"/>
            <w:szCs w:val="28"/>
          </w:rPr>
          <w:t>0,75 м3</w:t>
        </w:r>
      </w:smartTag>
      <w:r w:rsidRPr="00C42E74">
        <w:rPr>
          <w:rFonts w:ascii="Times New Roman" w:hAnsi="Times New Roman" w:cs="Times New Roman"/>
          <w:sz w:val="28"/>
          <w:szCs w:val="28"/>
        </w:rPr>
        <w:t xml:space="preserve"> в количестве 50 штук, а также навесное оборудование – снегоочиститель роторный с гидроприводом на фронтальный погрузчик Амкодор-342С4, на </w:t>
      </w:r>
      <w:r w:rsidRPr="00C42E74">
        <w:rPr>
          <w:rFonts w:ascii="Times New Roman" w:hAnsi="Times New Roman" w:cs="Times New Roman"/>
          <w:color w:val="000000"/>
          <w:spacing w:val="1"/>
          <w:sz w:val="28"/>
          <w:szCs w:val="28"/>
        </w:rPr>
        <w:t>общую сумму 1468,25 тыс. руб., выделенных из областного и местного бюджетов.</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color w:val="000000"/>
          <w:spacing w:val="1"/>
          <w:sz w:val="28"/>
          <w:szCs w:val="28"/>
        </w:rPr>
      </w:pPr>
      <w:r w:rsidRPr="00C42E74">
        <w:rPr>
          <w:rFonts w:ascii="Times New Roman" w:hAnsi="Times New Roman" w:cs="Times New Roman"/>
          <w:color w:val="000000"/>
          <w:spacing w:val="1"/>
          <w:sz w:val="28"/>
          <w:szCs w:val="28"/>
        </w:rPr>
        <w:t>В соответствии с Законом Сахалинской области от 15.06.2005 № 40-ЗО «О социальной поддержке детей-сирот и детей, оставшихся без попечения родителей» было приобретено 10 благоустроенных однокомнатных квартир для детей-сирот и детей, оставшихся без попечения родителей, на общую сумму 14845 тыс. руб.</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color w:val="000000"/>
          <w:spacing w:val="1"/>
          <w:sz w:val="28"/>
          <w:szCs w:val="28"/>
        </w:rPr>
      </w:pPr>
      <w:r w:rsidRPr="00C42E74">
        <w:rPr>
          <w:rFonts w:ascii="Times New Roman" w:hAnsi="Times New Roman" w:cs="Times New Roman"/>
          <w:color w:val="000000"/>
          <w:spacing w:val="1"/>
          <w:sz w:val="28"/>
          <w:szCs w:val="28"/>
        </w:rPr>
        <w:lastRenderedPageBreak/>
        <w:t>В целях развития кадрового потенциала и реализации муниципальной программы «Развитие образования в муниципальном образовании «Городской округ Ногликский» приобретена трехкомнатная благоустроенная квартира для педагога сельской школы с. Вал, стоимостью 500 тыс. руб.</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color w:val="000000"/>
          <w:spacing w:val="1"/>
          <w:sz w:val="28"/>
          <w:szCs w:val="28"/>
        </w:rPr>
      </w:pPr>
      <w:r w:rsidRPr="00C42E74">
        <w:rPr>
          <w:rFonts w:ascii="Times New Roman" w:hAnsi="Times New Roman" w:cs="Times New Roman"/>
          <w:color w:val="000000"/>
          <w:spacing w:val="1"/>
          <w:sz w:val="28"/>
          <w:szCs w:val="28"/>
        </w:rPr>
        <w:t>В 2015 году Комитетом по управлению муниципальным имуществом МО «Городской округ Ногликский», как собственником муниципального жилья, произведена оплата ежемесячного взноса на общую сумму 1205,5 тыс. руб. в региональный фонд капитального ремонта общего имущества в многоквартирных домах – в Некоммерческую организацию «Фонд капитального ремонта многоквартирных домов Сахалинской области», созданную Правительством Сахалинской области.</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sz w:val="28"/>
          <w:szCs w:val="28"/>
        </w:rPr>
      </w:pPr>
      <w:r w:rsidRPr="00C42E74">
        <w:rPr>
          <w:rFonts w:ascii="Times New Roman" w:hAnsi="Times New Roman" w:cs="Times New Roman"/>
          <w:sz w:val="28"/>
          <w:szCs w:val="28"/>
        </w:rPr>
        <w:t xml:space="preserve">В </w:t>
      </w:r>
      <w:smartTag w:uri="urn:schemas-microsoft-com:office:smarttags" w:element="metricconverter">
        <w:smartTagPr>
          <w:attr w:name="ProductID" w:val="2015 г"/>
        </w:smartTagPr>
        <w:r w:rsidRPr="00C42E74">
          <w:rPr>
            <w:rFonts w:ascii="Times New Roman" w:hAnsi="Times New Roman" w:cs="Times New Roman"/>
            <w:sz w:val="28"/>
            <w:szCs w:val="28"/>
          </w:rPr>
          <w:t>2015 г</w:t>
        </w:r>
      </w:smartTag>
      <w:r w:rsidRPr="00C42E74">
        <w:rPr>
          <w:rFonts w:ascii="Times New Roman" w:hAnsi="Times New Roman" w:cs="Times New Roman"/>
          <w:sz w:val="28"/>
          <w:szCs w:val="28"/>
        </w:rPr>
        <w:t>. в соответствии со ст.ст. 3, 9 Федерального закона 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по договорам купли - продажи арендуемого имущества с субъектами малого и среднего предпринимательства продано четыре нежилых помещения на общую сумму 26 млн. руб. в рассрочку от трех до пяти лет.</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sz w:val="28"/>
          <w:szCs w:val="28"/>
        </w:rPr>
      </w:pPr>
      <w:r w:rsidRPr="00C42E74">
        <w:rPr>
          <w:rFonts w:ascii="Times New Roman" w:hAnsi="Times New Roman" w:cs="Times New Roman"/>
          <w:sz w:val="28"/>
          <w:szCs w:val="28"/>
        </w:rPr>
        <w:t>В 2015 году продано 50% акций открытого акционерного общества «Тымовская типография» на сумму 1,988 млн. руб.</w:t>
      </w:r>
    </w:p>
    <w:p w:rsidR="00C42E74" w:rsidRPr="00C42E74" w:rsidRDefault="00C42E74" w:rsidP="00C42E74">
      <w:pPr>
        <w:shd w:val="clear" w:color="auto" w:fill="FFFFFF"/>
        <w:spacing w:after="0" w:line="307" w:lineRule="exact"/>
        <w:ind w:left="29" w:right="1" w:firstLine="778"/>
        <w:jc w:val="both"/>
        <w:rPr>
          <w:rFonts w:ascii="Times New Roman" w:hAnsi="Times New Roman" w:cs="Times New Roman"/>
          <w:sz w:val="28"/>
          <w:szCs w:val="28"/>
        </w:rPr>
      </w:pPr>
      <w:r w:rsidRPr="00C42E74">
        <w:rPr>
          <w:rFonts w:ascii="Times New Roman" w:hAnsi="Times New Roman" w:cs="Times New Roman"/>
          <w:sz w:val="28"/>
          <w:szCs w:val="28"/>
        </w:rPr>
        <w:t xml:space="preserve">В прошедшем году полностью реализовали материальные ценности, оставшиеся после ликвидированного МУП «Старт». </w:t>
      </w:r>
    </w:p>
    <w:p w:rsidR="00C42E74" w:rsidRPr="00C42E74" w:rsidRDefault="00C42E74" w:rsidP="00C42E74">
      <w:pPr>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Также в 2015 году в целях обеспечения стабильности поступления арендной платы ее размер продолжил индексироваться на коэффициент-дефлятор, устанавливаемый ежегодно на каждый следующий календарный год и учитывающий изменение потребительских цен на товары, услуги. </w:t>
      </w:r>
    </w:p>
    <w:p w:rsidR="00C42E74" w:rsidRPr="00C42E74" w:rsidRDefault="00C42E74" w:rsidP="00C42E74">
      <w:pPr>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Продолжает проводиться контрольно-претензионная работа по поступлению арендной платы, выявлению задолженности и принятию мер воздействия.</w:t>
      </w:r>
    </w:p>
    <w:p w:rsidR="00C42E74" w:rsidRPr="00146562" w:rsidRDefault="00C42E74" w:rsidP="00C42E74">
      <w:pPr>
        <w:pStyle w:val="ac"/>
        <w:spacing w:after="0"/>
        <w:jc w:val="both"/>
        <w:rPr>
          <w:rFonts w:ascii="Times New Roman" w:hAnsi="Times New Roman" w:cs="Times New Roman"/>
          <w:i/>
          <w:sz w:val="28"/>
          <w:szCs w:val="28"/>
        </w:rPr>
      </w:pPr>
      <w:r w:rsidRPr="00146562">
        <w:rPr>
          <w:rFonts w:ascii="Times New Roman" w:hAnsi="Times New Roman" w:cs="Times New Roman"/>
          <w:i/>
          <w:sz w:val="28"/>
          <w:szCs w:val="28"/>
        </w:rPr>
        <w:t xml:space="preserve">            Эффективность использования  земель в муниципальном  образовании «Городской округ Ногликский».  </w:t>
      </w:r>
    </w:p>
    <w:p w:rsidR="00C42E74" w:rsidRPr="00C42E74" w:rsidRDefault="00C42E74" w:rsidP="00C42E74">
      <w:pPr>
        <w:pStyle w:val="ac"/>
        <w:tabs>
          <w:tab w:val="left" w:pos="709"/>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По состоянию на 01.01.2016г. всего передано в аренду  863 гектара земли, из них </w:t>
      </w:r>
      <w:smartTag w:uri="urn:schemas-microsoft-com:office:smarttags" w:element="metricconverter">
        <w:smartTagPr>
          <w:attr w:name="ProductID" w:val="534 га"/>
        </w:smartTagPr>
        <w:r w:rsidRPr="00C42E74">
          <w:rPr>
            <w:rFonts w:ascii="Times New Roman" w:hAnsi="Times New Roman" w:cs="Times New Roman"/>
            <w:sz w:val="28"/>
            <w:szCs w:val="28"/>
          </w:rPr>
          <w:t>534 га</w:t>
        </w:r>
      </w:smartTag>
      <w:r w:rsidRPr="00C42E74">
        <w:rPr>
          <w:rFonts w:ascii="Times New Roman" w:hAnsi="Times New Roman" w:cs="Times New Roman"/>
          <w:sz w:val="28"/>
          <w:szCs w:val="28"/>
        </w:rPr>
        <w:t xml:space="preserve"> – земли населенных пунктов, </w:t>
      </w:r>
      <w:smartTag w:uri="urn:schemas-microsoft-com:office:smarttags" w:element="metricconverter">
        <w:smartTagPr>
          <w:attr w:name="ProductID" w:val="329 га"/>
        </w:smartTagPr>
        <w:r w:rsidRPr="00C42E74">
          <w:rPr>
            <w:rFonts w:ascii="Times New Roman" w:hAnsi="Times New Roman" w:cs="Times New Roman"/>
            <w:sz w:val="28"/>
            <w:szCs w:val="28"/>
          </w:rPr>
          <w:t>329 га</w:t>
        </w:r>
      </w:smartTag>
      <w:r w:rsidRPr="00C42E74">
        <w:rPr>
          <w:rFonts w:ascii="Times New Roman" w:hAnsi="Times New Roman" w:cs="Times New Roman"/>
          <w:sz w:val="28"/>
          <w:szCs w:val="28"/>
        </w:rPr>
        <w:t xml:space="preserve"> - земли промышленности.</w:t>
      </w:r>
    </w:p>
    <w:p w:rsidR="00C42E74" w:rsidRPr="00C42E74" w:rsidRDefault="00C42E74" w:rsidP="00C42E74">
      <w:pPr>
        <w:pStyle w:val="ac"/>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По отношению к 2014 году произошло увеличение  поступления арендных  платежей на 10 %. Недополучено арендной платы   от  запланированного поступления в отчетном периоде  1 %.  </w:t>
      </w:r>
    </w:p>
    <w:p w:rsidR="00C42E74" w:rsidRPr="00C42E74" w:rsidRDefault="00C42E74" w:rsidP="00C42E74">
      <w:pPr>
        <w:pStyle w:val="ac"/>
        <w:tabs>
          <w:tab w:val="left" w:pos="851"/>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Всего зарегистрировано  в муниципальную собственность земельных участков в количестве 65 шт., общей площадью 273338 кв.м.  </w:t>
      </w:r>
    </w:p>
    <w:p w:rsidR="00C42E74" w:rsidRPr="00C42E74" w:rsidRDefault="00C42E74" w:rsidP="00C42E74">
      <w:pPr>
        <w:pStyle w:val="ac"/>
        <w:tabs>
          <w:tab w:val="left" w:pos="851"/>
        </w:tabs>
        <w:spacing w:after="0"/>
        <w:jc w:val="both"/>
        <w:rPr>
          <w:rFonts w:ascii="Times New Roman" w:hAnsi="Times New Roman" w:cs="Times New Roman"/>
          <w:sz w:val="28"/>
          <w:szCs w:val="28"/>
        </w:rPr>
      </w:pPr>
      <w:r w:rsidRPr="00C42E74">
        <w:rPr>
          <w:rFonts w:ascii="Times New Roman" w:hAnsi="Times New Roman" w:cs="Times New Roman"/>
          <w:sz w:val="28"/>
          <w:szCs w:val="28"/>
        </w:rPr>
        <w:lastRenderedPageBreak/>
        <w:t xml:space="preserve">            Предоставлено в собственность за плату 38 земельных участков. Общая сумма  поступлений   доходов  от продажи земельных участков  составила 669 тыс. рублей.         </w:t>
      </w:r>
    </w:p>
    <w:p w:rsidR="00C42E74" w:rsidRPr="00C42E74" w:rsidRDefault="00C42E74" w:rsidP="00C42E74">
      <w:pPr>
        <w:pStyle w:val="ac"/>
        <w:tabs>
          <w:tab w:val="left" w:pos="709"/>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Продолжают выполняться мероприятия,   направленные на исполнение норм Федерального закона от 24.07.2002 № 101- ФЗ «Об обороте земель сельскохозяйственного назначения», в результате чего за счет средств местного бюджета выполнены кадастровые работы в отношении земель сельхозназначения, общей площадью </w:t>
      </w:r>
      <w:smartTag w:uri="urn:schemas-microsoft-com:office:smarttags" w:element="metricconverter">
        <w:smartTagPr>
          <w:attr w:name="ProductID" w:val="700 га"/>
        </w:smartTagPr>
        <w:r w:rsidRPr="00C42E74">
          <w:rPr>
            <w:rFonts w:ascii="Times New Roman" w:hAnsi="Times New Roman" w:cs="Times New Roman"/>
            <w:sz w:val="28"/>
            <w:szCs w:val="28"/>
          </w:rPr>
          <w:t>700 га</w:t>
        </w:r>
      </w:smartTag>
      <w:r w:rsidRPr="00C42E74">
        <w:rPr>
          <w:rFonts w:ascii="Times New Roman" w:hAnsi="Times New Roman" w:cs="Times New Roman"/>
          <w:sz w:val="28"/>
          <w:szCs w:val="28"/>
        </w:rPr>
        <w:t xml:space="preserve">. В 2015 году на данные работы затрачено средств на общую сумму 1176 тыс. руб. Начата  работа по признанию муниципальной собственности на сельскохозяйственные доли.   </w:t>
      </w:r>
    </w:p>
    <w:p w:rsidR="00C42E74" w:rsidRPr="00C42E74" w:rsidRDefault="00C42E74" w:rsidP="00C42E74">
      <w:pPr>
        <w:pStyle w:val="ac"/>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Продолжает сохраняться тенденция востребованности в земельных участках   как для  индивидуального жилищного строительства, так  и для строительства объектов промышленности и торгового назначения. </w:t>
      </w:r>
    </w:p>
    <w:p w:rsidR="00C42E74" w:rsidRPr="00C42E74" w:rsidRDefault="00C42E74" w:rsidP="00C42E74">
      <w:pPr>
        <w:pStyle w:val="ac"/>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В целях реализации Закона Сахалинской области «О бесплатном предоставлении земельных участков в собственность граждан, имеющих трех и более детей, и юридических лиц» ведется  работа  по формированию и предоставлению  земельных участков  в кварталах жилой застройки.       </w:t>
      </w:r>
    </w:p>
    <w:p w:rsidR="00C42E74" w:rsidRPr="00C42E74" w:rsidRDefault="00C42E74" w:rsidP="00C42E74">
      <w:pPr>
        <w:tabs>
          <w:tab w:val="left" w:pos="2634"/>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По состоянию на 01.01.2016г. по сведениям Государственного казенного учреждения «Центр социальной поддержки Сахалинской области» в реестре граждан, поставленных на учет на бесплатное предоставление земельных участков в собственность,  состоит 35 человек.</w:t>
      </w:r>
    </w:p>
    <w:p w:rsidR="00C42E74" w:rsidRPr="00C42E74" w:rsidRDefault="00C42E74" w:rsidP="00C42E74">
      <w:pPr>
        <w:tabs>
          <w:tab w:val="left" w:pos="2634"/>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Всего данной категории пользователей предоставлено в собственность  24 земельных участка.  </w:t>
      </w:r>
    </w:p>
    <w:p w:rsidR="00C42E74" w:rsidRPr="00C42E74" w:rsidRDefault="00C42E74" w:rsidP="00C42E74">
      <w:pPr>
        <w:tabs>
          <w:tab w:val="left" w:pos="2634"/>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На отчетную дату  за счет </w:t>
      </w:r>
      <w:r>
        <w:rPr>
          <w:rFonts w:ascii="Times New Roman" w:hAnsi="Times New Roman" w:cs="Times New Roman"/>
          <w:sz w:val="28"/>
          <w:szCs w:val="28"/>
        </w:rPr>
        <w:t xml:space="preserve">средств </w:t>
      </w:r>
      <w:r w:rsidRPr="00C42E74">
        <w:rPr>
          <w:rFonts w:ascii="Times New Roman" w:hAnsi="Times New Roman" w:cs="Times New Roman"/>
          <w:sz w:val="28"/>
          <w:szCs w:val="28"/>
        </w:rPr>
        <w:t xml:space="preserve">местного бюджета сформировано и поставлено на кадастровый учет 52 земельных участка.      </w:t>
      </w:r>
    </w:p>
    <w:p w:rsidR="00C42E74" w:rsidRPr="00C42E74" w:rsidRDefault="00C42E74" w:rsidP="00C42E74">
      <w:pPr>
        <w:pStyle w:val="ac"/>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В целях снижения задолженности по арендной плате  регулярно ведется претензионно- исковая работа. Всего направлено в суд 9 исков  на сумму 8706 тыс. руб.</w:t>
      </w:r>
    </w:p>
    <w:p w:rsidR="00C42E74" w:rsidRPr="00C42E74" w:rsidRDefault="00C42E74" w:rsidP="00C42E74">
      <w:pPr>
        <w:tabs>
          <w:tab w:val="left" w:pos="2634"/>
        </w:tabs>
        <w:spacing w:after="0"/>
        <w:jc w:val="both"/>
        <w:rPr>
          <w:rFonts w:ascii="Times New Roman" w:hAnsi="Times New Roman" w:cs="Times New Roman"/>
          <w:sz w:val="28"/>
          <w:szCs w:val="28"/>
        </w:rPr>
      </w:pPr>
      <w:r w:rsidRPr="00C42E74">
        <w:rPr>
          <w:rFonts w:ascii="Times New Roman" w:hAnsi="Times New Roman" w:cs="Times New Roman"/>
          <w:sz w:val="28"/>
          <w:szCs w:val="28"/>
        </w:rPr>
        <w:t xml:space="preserve">            За отчетный  период под объектами, находящимися в муниципальной собственности, сформирован  61 участок, общей площадью </w:t>
      </w:r>
      <w:smartTag w:uri="urn:schemas-microsoft-com:office:smarttags" w:element="metricconverter">
        <w:smartTagPr>
          <w:attr w:name="ProductID" w:val="62,8 га"/>
        </w:smartTagPr>
        <w:smartTag w:uri="urn:schemas-microsoft-com:office:smarttags" w:element="metricconverter">
          <w:smartTagPr>
            <w:attr w:name="ProductID" w:val="62,8 га"/>
          </w:smartTagPr>
          <w:r w:rsidRPr="00C42E74">
            <w:rPr>
              <w:rFonts w:ascii="Times New Roman" w:hAnsi="Times New Roman" w:cs="Times New Roman"/>
              <w:sz w:val="28"/>
              <w:szCs w:val="28"/>
            </w:rPr>
            <w:t>62,8 га</w:t>
          </w:r>
        </w:smartTag>
        <w:r w:rsidRPr="00C42E74">
          <w:rPr>
            <w:rFonts w:ascii="Times New Roman" w:hAnsi="Times New Roman" w:cs="Times New Roman"/>
            <w:sz w:val="28"/>
            <w:szCs w:val="28"/>
          </w:rPr>
          <w:t>. Н</w:t>
        </w:r>
      </w:smartTag>
      <w:r w:rsidRPr="00C42E74">
        <w:rPr>
          <w:rFonts w:ascii="Times New Roman" w:hAnsi="Times New Roman" w:cs="Times New Roman"/>
          <w:sz w:val="28"/>
          <w:szCs w:val="28"/>
        </w:rPr>
        <w:t xml:space="preserve">а проведение указанных мероприятий израсходованы средства в сумме 1109 тыс. руб.     </w:t>
      </w:r>
    </w:p>
    <w:p w:rsidR="00C42E74" w:rsidRDefault="00C42E74" w:rsidP="00C42E74">
      <w:pPr>
        <w:jc w:val="both"/>
        <w:rPr>
          <w:sz w:val="26"/>
          <w:szCs w:val="26"/>
        </w:rPr>
      </w:pPr>
    </w:p>
    <w:p w:rsidR="00C42E74" w:rsidRPr="006945E3" w:rsidRDefault="00C42E74" w:rsidP="00C42E74">
      <w:pPr>
        <w:jc w:val="center"/>
        <w:rPr>
          <w:rFonts w:ascii="Times New Roman" w:hAnsi="Times New Roman" w:cs="Times New Roman"/>
          <w:b/>
          <w:sz w:val="28"/>
          <w:szCs w:val="28"/>
        </w:rPr>
      </w:pPr>
      <w:r w:rsidRPr="006945E3">
        <w:rPr>
          <w:rFonts w:ascii="Times New Roman" w:hAnsi="Times New Roman" w:cs="Times New Roman"/>
          <w:b/>
          <w:sz w:val="28"/>
          <w:szCs w:val="28"/>
        </w:rPr>
        <w:t>Местный бюд</w:t>
      </w:r>
      <w:r w:rsidR="006945E3" w:rsidRPr="006945E3">
        <w:rPr>
          <w:rFonts w:ascii="Times New Roman" w:hAnsi="Times New Roman" w:cs="Times New Roman"/>
          <w:b/>
          <w:sz w:val="28"/>
          <w:szCs w:val="28"/>
        </w:rPr>
        <w:t>жет</w:t>
      </w:r>
    </w:p>
    <w:p w:rsidR="006945E3" w:rsidRPr="006945E3" w:rsidRDefault="00C42E74" w:rsidP="006945E3">
      <w:pPr>
        <w:autoSpaceDE w:val="0"/>
        <w:autoSpaceDN w:val="0"/>
        <w:adjustRightInd w:val="0"/>
        <w:ind w:firstLine="709"/>
        <w:jc w:val="both"/>
        <w:rPr>
          <w:rFonts w:ascii="Times New Roman" w:hAnsi="Times New Roman" w:cs="Times New Roman"/>
          <w:sz w:val="28"/>
          <w:szCs w:val="28"/>
        </w:rPr>
      </w:pPr>
      <w:r w:rsidRPr="006945E3">
        <w:rPr>
          <w:rFonts w:ascii="Times New Roman" w:hAnsi="Times New Roman" w:cs="Times New Roman"/>
          <w:sz w:val="28"/>
          <w:szCs w:val="28"/>
        </w:rPr>
        <w:t xml:space="preserve"> </w:t>
      </w:r>
      <w:r w:rsidR="006945E3" w:rsidRPr="006945E3">
        <w:rPr>
          <w:rFonts w:ascii="Times New Roman" w:hAnsi="Times New Roman" w:cs="Times New Roman"/>
          <w:sz w:val="28"/>
          <w:szCs w:val="28"/>
        </w:rPr>
        <w:t xml:space="preserve">По основным параметрам бюджет муниципального образования в 2015 году исполнен: по доходам в сумме 2 058 млн. рублей, по расходам в сумме 2 249 млн. рублей с результатом исполнения - превышение расходов над доходами (дефицит) в сумме 191 млн. рублей. </w:t>
      </w:r>
    </w:p>
    <w:p w:rsidR="006945E3" w:rsidRPr="006945E3" w:rsidRDefault="006945E3" w:rsidP="006945E3">
      <w:pPr>
        <w:autoSpaceDE w:val="0"/>
        <w:autoSpaceDN w:val="0"/>
        <w:adjustRightInd w:val="0"/>
        <w:ind w:firstLine="709"/>
        <w:jc w:val="both"/>
        <w:rPr>
          <w:rFonts w:ascii="Times New Roman" w:hAnsi="Times New Roman" w:cs="Times New Roman"/>
          <w:sz w:val="28"/>
          <w:szCs w:val="28"/>
        </w:rPr>
      </w:pPr>
      <w:r w:rsidRPr="006945E3">
        <w:rPr>
          <w:rFonts w:ascii="Times New Roman" w:hAnsi="Times New Roman" w:cs="Times New Roman"/>
          <w:sz w:val="28"/>
          <w:szCs w:val="28"/>
        </w:rPr>
        <w:lastRenderedPageBreak/>
        <w:t xml:space="preserve">Объем доходов, фактически полученных при исполнении бюджета в 2015 году, ниже поступлений 2014 года на 23 процента или на 600 млн. рублей. </w:t>
      </w:r>
    </w:p>
    <w:p w:rsidR="006945E3" w:rsidRPr="00FE206A" w:rsidRDefault="006945E3" w:rsidP="006945E3">
      <w:pPr>
        <w:autoSpaceDE w:val="0"/>
        <w:autoSpaceDN w:val="0"/>
        <w:adjustRightInd w:val="0"/>
        <w:ind w:firstLine="709"/>
        <w:jc w:val="both"/>
        <w:rPr>
          <w:sz w:val="26"/>
          <w:szCs w:val="26"/>
        </w:rPr>
      </w:pPr>
    </w:p>
    <w:p w:rsidR="006945E3" w:rsidRDefault="004477FB" w:rsidP="006945E3">
      <w:pPr>
        <w:autoSpaceDE w:val="0"/>
        <w:autoSpaceDN w:val="0"/>
        <w:adjustRightInd w:val="0"/>
        <w:ind w:firstLine="709"/>
        <w:jc w:val="center"/>
        <w:rPr>
          <w:sz w:val="28"/>
          <w:szCs w:val="28"/>
        </w:rPr>
      </w:pPr>
      <w:r w:rsidRPr="00AE075D">
        <w:rPr>
          <w:sz w:val="28"/>
          <w:szCs w:val="28"/>
        </w:rPr>
        <w:object w:dxaOrig="7215" w:dyaOrig="5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pt;height:211pt" o:ole="">
            <v:imagedata r:id="rId32" o:title=""/>
          </v:shape>
          <o:OLEObject Type="Embed" ProgID="PowerPoint.Slide.12" ShapeID="_x0000_i1025" DrawAspect="Content" ObjectID="_1531820239" r:id="rId33"/>
        </w:object>
      </w:r>
    </w:p>
    <w:p w:rsidR="006945E3" w:rsidRPr="006945E3" w:rsidRDefault="006945E3" w:rsidP="006945E3">
      <w:pPr>
        <w:ind w:firstLine="567"/>
        <w:jc w:val="center"/>
        <w:rPr>
          <w:rFonts w:ascii="Times New Roman" w:hAnsi="Times New Roman" w:cs="Times New Roman"/>
          <w:i/>
          <w:sz w:val="24"/>
          <w:szCs w:val="24"/>
        </w:rPr>
      </w:pPr>
      <w:r w:rsidRPr="006945E3">
        <w:rPr>
          <w:rFonts w:ascii="Times New Roman" w:hAnsi="Times New Roman" w:cs="Times New Roman"/>
          <w:i/>
          <w:sz w:val="24"/>
          <w:szCs w:val="24"/>
        </w:rPr>
        <w:t>Рисунок 21</w:t>
      </w:r>
    </w:p>
    <w:p w:rsidR="006945E3" w:rsidRPr="006945E3" w:rsidRDefault="006945E3" w:rsidP="006945E3">
      <w:pPr>
        <w:ind w:firstLine="567"/>
        <w:jc w:val="both"/>
        <w:rPr>
          <w:rFonts w:ascii="Times New Roman" w:hAnsi="Times New Roman" w:cs="Times New Roman"/>
          <w:sz w:val="28"/>
          <w:szCs w:val="28"/>
        </w:rPr>
      </w:pPr>
      <w:r w:rsidRPr="006945E3">
        <w:rPr>
          <w:rFonts w:ascii="Times New Roman" w:hAnsi="Times New Roman" w:cs="Times New Roman"/>
          <w:sz w:val="28"/>
          <w:szCs w:val="28"/>
        </w:rPr>
        <w:t>Источниками доходов местного бюджета являются налоговые и неналоговые дох</w:t>
      </w:r>
      <w:r>
        <w:rPr>
          <w:rFonts w:ascii="Times New Roman" w:hAnsi="Times New Roman" w:cs="Times New Roman"/>
          <w:sz w:val="28"/>
          <w:szCs w:val="28"/>
        </w:rPr>
        <w:t>оды и безвозмездные поступления</w:t>
      </w:r>
    </w:p>
    <w:p w:rsidR="006945E3" w:rsidRDefault="006945E3" w:rsidP="006945E3">
      <w:pPr>
        <w:jc w:val="center"/>
        <w:rPr>
          <w:sz w:val="26"/>
          <w:szCs w:val="26"/>
        </w:rPr>
      </w:pPr>
      <w:r w:rsidRPr="00EB2ECA">
        <w:rPr>
          <w:sz w:val="26"/>
          <w:szCs w:val="26"/>
        </w:rPr>
        <w:object w:dxaOrig="5548" w:dyaOrig="4143">
          <v:shape id="_x0000_i1026" type="#_x0000_t75" style="width:422.65pt;height:238pt" o:ole="">
            <v:imagedata r:id="rId34" o:title=""/>
          </v:shape>
          <o:OLEObject Type="Embed" ProgID="PowerPoint.Slide.12" ShapeID="_x0000_i1026" DrawAspect="Content" ObjectID="_1531820240" r:id="rId35"/>
        </w:object>
      </w:r>
    </w:p>
    <w:p w:rsidR="006945E3" w:rsidRPr="006945E3" w:rsidRDefault="006945E3" w:rsidP="006945E3">
      <w:pPr>
        <w:jc w:val="center"/>
        <w:rPr>
          <w:rFonts w:ascii="Times New Roman" w:hAnsi="Times New Roman" w:cs="Times New Roman"/>
          <w:i/>
          <w:sz w:val="24"/>
          <w:szCs w:val="24"/>
        </w:rPr>
      </w:pPr>
      <w:r w:rsidRPr="006945E3">
        <w:rPr>
          <w:rFonts w:ascii="Times New Roman" w:hAnsi="Times New Roman" w:cs="Times New Roman"/>
          <w:i/>
          <w:sz w:val="24"/>
          <w:szCs w:val="24"/>
        </w:rPr>
        <w:t>Рисунок 22</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 xml:space="preserve">Налоговые и неналоговые доходы исполнены в объеме  694 млн. рублей и по сравнению с 2014 годом доходы увеличились на 244 млн. рублей </w:t>
      </w:r>
      <w:r w:rsidRPr="006945E3">
        <w:rPr>
          <w:rFonts w:ascii="Times New Roman" w:hAnsi="Times New Roman" w:cs="Times New Roman"/>
          <w:sz w:val="28"/>
          <w:szCs w:val="28"/>
        </w:rPr>
        <w:lastRenderedPageBreak/>
        <w:t>(НДФЛ – 172 млн. рублей,  налог на имущество организаций – 26 млн. рублей, платежи при пользовании природными ресурсами – 46 млн. рублей).</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Доля налоговых и неналоговых доходов в общем объеме доходов местного бюджета возросла по сравнению с предыдущим годом на 17 процентов и составила 34 процента. Рост обеспечен за счет увеличения</w:t>
      </w:r>
      <w:r w:rsidRPr="006945E3">
        <w:rPr>
          <w:rFonts w:ascii="Times New Roman" w:hAnsi="Times New Roman" w:cs="Times New Roman"/>
          <w:color w:val="FF0000"/>
          <w:sz w:val="28"/>
          <w:szCs w:val="28"/>
        </w:rPr>
        <w:t xml:space="preserve"> </w:t>
      </w:r>
      <w:r w:rsidRPr="006945E3">
        <w:rPr>
          <w:rFonts w:ascii="Times New Roman" w:hAnsi="Times New Roman" w:cs="Times New Roman"/>
          <w:sz w:val="28"/>
          <w:szCs w:val="28"/>
        </w:rPr>
        <w:t>налогового потенциала</w:t>
      </w:r>
      <w:r w:rsidRPr="006945E3">
        <w:rPr>
          <w:rFonts w:ascii="Times New Roman" w:hAnsi="Times New Roman" w:cs="Times New Roman"/>
          <w:color w:val="FF0000"/>
          <w:sz w:val="28"/>
          <w:szCs w:val="28"/>
        </w:rPr>
        <w:t xml:space="preserve"> </w:t>
      </w:r>
      <w:r w:rsidRPr="006945E3">
        <w:rPr>
          <w:rFonts w:ascii="Times New Roman" w:hAnsi="Times New Roman" w:cs="Times New Roman"/>
          <w:sz w:val="28"/>
          <w:szCs w:val="28"/>
        </w:rPr>
        <w:t>и снижения объема безвозмездных поступлений из областного бюджета.</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 xml:space="preserve">В структуре налоговых и неналоговых доходов основную долю составляют: налог на доходы физических лиц – 63 процента и доходы от использования имущества, находящегося в муниципальной собственности – 11 процентов. </w:t>
      </w:r>
    </w:p>
    <w:p w:rsidR="006945E3" w:rsidRPr="006945E3" w:rsidRDefault="006945E3" w:rsidP="006945E3">
      <w:pPr>
        <w:autoSpaceDE w:val="0"/>
        <w:autoSpaceDN w:val="0"/>
        <w:adjustRightInd w:val="0"/>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 xml:space="preserve">Поступление налога на доходы физических лиц составило 435 млн. рублей, с ростом на 172 млн. рублей относительно 2014 года. Основной причиной роста  является  увеличение норматива отчислений налога в местный бюджет с 25 до 35 процентов, в суммовом выражении - 124 млн. рублей. </w:t>
      </w:r>
    </w:p>
    <w:p w:rsidR="006945E3" w:rsidRPr="006945E3" w:rsidRDefault="006945E3" w:rsidP="006945E3">
      <w:pPr>
        <w:autoSpaceDE w:val="0"/>
        <w:autoSpaceDN w:val="0"/>
        <w:adjustRightInd w:val="0"/>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Основные поступления НДФЛ обеспечены  предприятиями таких видов деятельности как:</w:t>
      </w:r>
    </w:p>
    <w:p w:rsidR="006945E3" w:rsidRPr="006945E3" w:rsidRDefault="006945E3" w:rsidP="006945E3">
      <w:pPr>
        <w:pStyle w:val="ae"/>
        <w:numPr>
          <w:ilvl w:val="0"/>
          <w:numId w:val="2"/>
        </w:numPr>
        <w:autoSpaceDE w:val="0"/>
        <w:autoSpaceDN w:val="0"/>
        <w:adjustRightInd w:val="0"/>
        <w:ind w:left="567" w:hanging="567"/>
        <w:jc w:val="both"/>
        <w:rPr>
          <w:sz w:val="28"/>
          <w:szCs w:val="28"/>
        </w:rPr>
      </w:pPr>
      <w:r w:rsidRPr="006945E3">
        <w:rPr>
          <w:sz w:val="28"/>
          <w:szCs w:val="28"/>
        </w:rPr>
        <w:t>добыча сырой нефти и природного газа – 128 млн. рублей (29 процентов);</w:t>
      </w:r>
    </w:p>
    <w:p w:rsidR="006945E3" w:rsidRPr="006945E3" w:rsidRDefault="006945E3" w:rsidP="006945E3">
      <w:pPr>
        <w:pStyle w:val="ae"/>
        <w:numPr>
          <w:ilvl w:val="0"/>
          <w:numId w:val="2"/>
        </w:numPr>
        <w:autoSpaceDE w:val="0"/>
        <w:autoSpaceDN w:val="0"/>
        <w:adjustRightInd w:val="0"/>
        <w:ind w:left="567" w:hanging="567"/>
        <w:jc w:val="both"/>
        <w:rPr>
          <w:sz w:val="28"/>
          <w:szCs w:val="28"/>
        </w:rPr>
      </w:pPr>
      <w:r w:rsidRPr="006945E3">
        <w:rPr>
          <w:sz w:val="28"/>
          <w:szCs w:val="28"/>
        </w:rPr>
        <w:t>строительство – 41 млн. рублей или 9 процентов от общего поступления НДФЛ;</w:t>
      </w:r>
    </w:p>
    <w:p w:rsidR="006945E3" w:rsidRPr="006945E3" w:rsidRDefault="006945E3" w:rsidP="006945E3">
      <w:pPr>
        <w:pStyle w:val="ae"/>
        <w:numPr>
          <w:ilvl w:val="0"/>
          <w:numId w:val="2"/>
        </w:numPr>
        <w:autoSpaceDE w:val="0"/>
        <w:autoSpaceDN w:val="0"/>
        <w:adjustRightInd w:val="0"/>
        <w:ind w:left="567" w:hanging="567"/>
        <w:jc w:val="both"/>
        <w:rPr>
          <w:sz w:val="28"/>
          <w:szCs w:val="28"/>
        </w:rPr>
      </w:pPr>
      <w:r w:rsidRPr="006945E3">
        <w:rPr>
          <w:sz w:val="28"/>
          <w:szCs w:val="28"/>
        </w:rPr>
        <w:t>прочие (основная доля - поступления от иностранных граждан) – 85 млн. рублей (20 процентов);</w:t>
      </w:r>
    </w:p>
    <w:p w:rsidR="006945E3" w:rsidRPr="006945E3" w:rsidRDefault="006945E3" w:rsidP="006945E3">
      <w:pPr>
        <w:pStyle w:val="ae"/>
        <w:numPr>
          <w:ilvl w:val="0"/>
          <w:numId w:val="2"/>
        </w:numPr>
        <w:autoSpaceDE w:val="0"/>
        <w:autoSpaceDN w:val="0"/>
        <w:adjustRightInd w:val="0"/>
        <w:ind w:left="567" w:hanging="567"/>
        <w:jc w:val="both"/>
        <w:rPr>
          <w:sz w:val="28"/>
          <w:szCs w:val="28"/>
        </w:rPr>
      </w:pPr>
      <w:r w:rsidRPr="006945E3">
        <w:rPr>
          <w:sz w:val="28"/>
          <w:szCs w:val="28"/>
        </w:rPr>
        <w:t>предоставление прочих видов услуг – 45 млн. рублей (10 процентов);</w:t>
      </w:r>
    </w:p>
    <w:p w:rsidR="006945E3" w:rsidRPr="006945E3" w:rsidRDefault="006945E3" w:rsidP="006945E3">
      <w:pPr>
        <w:pStyle w:val="ae"/>
        <w:numPr>
          <w:ilvl w:val="0"/>
          <w:numId w:val="2"/>
        </w:numPr>
        <w:autoSpaceDE w:val="0"/>
        <w:autoSpaceDN w:val="0"/>
        <w:adjustRightInd w:val="0"/>
        <w:ind w:left="567" w:hanging="567"/>
        <w:jc w:val="both"/>
        <w:rPr>
          <w:sz w:val="28"/>
          <w:szCs w:val="28"/>
        </w:rPr>
      </w:pPr>
      <w:r w:rsidRPr="006945E3">
        <w:rPr>
          <w:sz w:val="28"/>
          <w:szCs w:val="28"/>
        </w:rPr>
        <w:t>деятельность сухопутного транспорта (включая транспортирование по трубопроводам) – 49 млн. рублей (11 процентов).</w:t>
      </w:r>
    </w:p>
    <w:p w:rsidR="006945E3" w:rsidRDefault="006945E3" w:rsidP="006945E3">
      <w:pPr>
        <w:pStyle w:val="ae"/>
        <w:autoSpaceDE w:val="0"/>
        <w:autoSpaceDN w:val="0"/>
        <w:adjustRightInd w:val="0"/>
        <w:ind w:left="1287"/>
        <w:jc w:val="both"/>
        <w:rPr>
          <w:sz w:val="26"/>
          <w:szCs w:val="26"/>
        </w:rPr>
      </w:pPr>
    </w:p>
    <w:p w:rsidR="006945E3" w:rsidRDefault="004477FB" w:rsidP="006945E3">
      <w:pPr>
        <w:pStyle w:val="ae"/>
        <w:autoSpaceDE w:val="0"/>
        <w:autoSpaceDN w:val="0"/>
        <w:adjustRightInd w:val="0"/>
        <w:jc w:val="center"/>
        <w:rPr>
          <w:sz w:val="26"/>
          <w:szCs w:val="26"/>
        </w:rPr>
      </w:pPr>
      <w:r w:rsidRPr="00EB2ECA">
        <w:rPr>
          <w:sz w:val="26"/>
          <w:szCs w:val="26"/>
        </w:rPr>
        <w:object w:dxaOrig="4004" w:dyaOrig="2988">
          <v:shape id="_x0000_i1027" type="#_x0000_t75" style="width:375pt;height:175pt" o:ole="">
            <v:imagedata r:id="rId36" o:title=""/>
          </v:shape>
          <o:OLEObject Type="Embed" ProgID="PowerPoint.Slide.12" ShapeID="_x0000_i1027" DrawAspect="Content" ObjectID="_1531820241" r:id="rId37"/>
        </w:object>
      </w:r>
    </w:p>
    <w:p w:rsidR="006945E3" w:rsidRDefault="006945E3" w:rsidP="006945E3">
      <w:pPr>
        <w:pStyle w:val="ae"/>
        <w:autoSpaceDE w:val="0"/>
        <w:autoSpaceDN w:val="0"/>
        <w:adjustRightInd w:val="0"/>
        <w:jc w:val="center"/>
        <w:rPr>
          <w:i/>
        </w:rPr>
      </w:pPr>
      <w:r w:rsidRPr="006945E3">
        <w:rPr>
          <w:i/>
        </w:rPr>
        <w:t>Рисунок 23</w:t>
      </w:r>
    </w:p>
    <w:p w:rsidR="006945E3" w:rsidRPr="006945E3" w:rsidRDefault="006945E3" w:rsidP="006945E3">
      <w:pPr>
        <w:pStyle w:val="ae"/>
        <w:autoSpaceDE w:val="0"/>
        <w:autoSpaceDN w:val="0"/>
        <w:adjustRightInd w:val="0"/>
        <w:jc w:val="center"/>
        <w:rPr>
          <w:i/>
        </w:rPr>
      </w:pPr>
    </w:p>
    <w:p w:rsidR="006945E3" w:rsidRPr="006945E3" w:rsidRDefault="006945E3" w:rsidP="006945E3">
      <w:pPr>
        <w:autoSpaceDE w:val="0"/>
        <w:autoSpaceDN w:val="0"/>
        <w:adjustRightInd w:val="0"/>
        <w:spacing w:after="0"/>
        <w:ind w:firstLine="567"/>
        <w:contextualSpacing/>
        <w:jc w:val="both"/>
        <w:rPr>
          <w:rFonts w:ascii="Times New Roman" w:hAnsi="Times New Roman" w:cs="Times New Roman"/>
          <w:sz w:val="28"/>
          <w:szCs w:val="28"/>
        </w:rPr>
      </w:pPr>
      <w:r w:rsidRPr="006945E3">
        <w:rPr>
          <w:rFonts w:ascii="Times New Roman" w:hAnsi="Times New Roman" w:cs="Times New Roman"/>
          <w:sz w:val="28"/>
          <w:szCs w:val="28"/>
        </w:rPr>
        <w:lastRenderedPageBreak/>
        <w:t xml:space="preserve">Анализируя поступление налога на доходы физических лиц по видам экономической деятельности за 2014-2015 годы (в сопоставимых условиях по нормативу отчислений), рост поступлений обеспечен налогоплательщиками, осуществляющими свою деятельность в таких сферах, как добыча сырой нефти и природного газа,  транспортирование по трубопроводам, государственное управление и организации бюджетной сферы, а снижение поступлений  сложилось в строительстве, гостиничном и ресторанном бизнесе, деятельности прочего сухопутного транспорта, аренде машин и оборудования без оператора. </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В неналоговых доходах местного бюджета основную долю составляют платежи, получаемые в процессе осуществления деятельности органов местного самоуправления муниципального образования, по управлению муниципальной собственностью.</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 xml:space="preserve">Арендные платежи за пользование муниципальным имуществом (земельными участками и другими объектами недвижимости) в 2015 году поступили с ростом на 2 процента от показателей 2014 года и составили  78 млн. рублей. </w:t>
      </w:r>
    </w:p>
    <w:p w:rsidR="006945E3" w:rsidRPr="006945E3" w:rsidRDefault="006945E3" w:rsidP="006945E3">
      <w:pPr>
        <w:spacing w:after="0"/>
        <w:ind w:firstLine="567"/>
        <w:jc w:val="both"/>
        <w:rPr>
          <w:rFonts w:ascii="Times New Roman" w:hAnsi="Times New Roman" w:cs="Times New Roman"/>
          <w:sz w:val="28"/>
          <w:szCs w:val="28"/>
        </w:rPr>
      </w:pPr>
      <w:r w:rsidRPr="006945E3">
        <w:rPr>
          <w:rFonts w:ascii="Times New Roman" w:hAnsi="Times New Roman" w:cs="Times New Roman"/>
          <w:sz w:val="28"/>
          <w:szCs w:val="28"/>
        </w:rPr>
        <w:t>Безвозмездные поступления в 2015 году представлены в местном бюджете межбюджетными трансфертами из вышестоящих бюджетов бюджетной системы РФ в сумме 1 373 млн. рублей, что в 1,6 раза меньше поступлений 2014 года.</w:t>
      </w:r>
    </w:p>
    <w:p w:rsidR="006945E3" w:rsidRDefault="006945E3" w:rsidP="006945E3">
      <w:pPr>
        <w:ind w:firstLine="567"/>
        <w:jc w:val="both"/>
        <w:rPr>
          <w:sz w:val="26"/>
          <w:szCs w:val="26"/>
        </w:rPr>
      </w:pPr>
    </w:p>
    <w:p w:rsidR="006945E3" w:rsidRDefault="004477FB" w:rsidP="006945E3">
      <w:pPr>
        <w:jc w:val="center"/>
        <w:rPr>
          <w:sz w:val="26"/>
          <w:szCs w:val="26"/>
        </w:rPr>
      </w:pPr>
      <w:r w:rsidRPr="00753C8C">
        <w:rPr>
          <w:sz w:val="26"/>
          <w:szCs w:val="26"/>
        </w:rPr>
        <w:object w:dxaOrig="7167" w:dyaOrig="5353">
          <v:shape id="_x0000_i1028" type="#_x0000_t75" style="width:380.65pt;height:3in" o:ole="">
            <v:imagedata r:id="rId38" o:title=""/>
          </v:shape>
          <o:OLEObject Type="Embed" ProgID="PowerPoint.Slide.12" ShapeID="_x0000_i1028" DrawAspect="Content" ObjectID="_1531820242" r:id="rId39"/>
        </w:object>
      </w:r>
    </w:p>
    <w:p w:rsidR="006945E3" w:rsidRDefault="006945E3" w:rsidP="006945E3">
      <w:pPr>
        <w:ind w:firstLine="567"/>
        <w:jc w:val="center"/>
        <w:rPr>
          <w:rFonts w:ascii="Times New Roman" w:hAnsi="Times New Roman" w:cs="Times New Roman"/>
          <w:i/>
          <w:sz w:val="24"/>
          <w:szCs w:val="24"/>
        </w:rPr>
      </w:pPr>
      <w:r w:rsidRPr="006945E3">
        <w:rPr>
          <w:rFonts w:ascii="Times New Roman" w:hAnsi="Times New Roman" w:cs="Times New Roman"/>
          <w:i/>
          <w:sz w:val="24"/>
          <w:szCs w:val="24"/>
        </w:rPr>
        <w:t>Рисунок 24</w:t>
      </w:r>
    </w:p>
    <w:p w:rsidR="006945E3" w:rsidRPr="006945E3" w:rsidRDefault="006945E3" w:rsidP="00E1134A">
      <w:pPr>
        <w:ind w:firstLine="567"/>
        <w:jc w:val="both"/>
        <w:rPr>
          <w:rFonts w:ascii="Times New Roman" w:hAnsi="Times New Roman" w:cs="Times New Roman"/>
          <w:i/>
          <w:sz w:val="24"/>
          <w:szCs w:val="24"/>
        </w:rPr>
      </w:pPr>
      <w:r w:rsidRPr="006945E3">
        <w:rPr>
          <w:rFonts w:ascii="Times New Roman" w:hAnsi="Times New Roman" w:cs="Times New Roman"/>
          <w:sz w:val="28"/>
          <w:szCs w:val="28"/>
        </w:rPr>
        <w:t xml:space="preserve">В 2015 году общая доля безвозмездных поступлений составила 66 процентов в общей сумме доходов местного бюджета и снизилась на 14 </w:t>
      </w:r>
      <w:r w:rsidRPr="006945E3">
        <w:rPr>
          <w:rFonts w:ascii="Times New Roman" w:hAnsi="Times New Roman" w:cs="Times New Roman"/>
          <w:sz w:val="28"/>
          <w:szCs w:val="28"/>
        </w:rPr>
        <w:lastRenderedPageBreak/>
        <w:t xml:space="preserve">процентов по сравнению с 2014 годом, ввиду значительного  снижения  поступлений дотаций и субсидий из областного бюджета на софинансирование расходных обязательств муниципального образования. </w:t>
      </w:r>
    </w:p>
    <w:p w:rsidR="006945E3" w:rsidRDefault="00E1134A" w:rsidP="006945E3">
      <w:pPr>
        <w:jc w:val="center"/>
        <w:rPr>
          <w:sz w:val="26"/>
          <w:szCs w:val="26"/>
        </w:rPr>
      </w:pPr>
      <w:r w:rsidRPr="00753C8C">
        <w:rPr>
          <w:sz w:val="26"/>
          <w:szCs w:val="26"/>
        </w:rPr>
        <w:object w:dxaOrig="6491" w:dyaOrig="4850">
          <v:shape id="_x0000_i1029" type="#_x0000_t75" style="width:351.65pt;height:263pt" o:ole="">
            <v:imagedata r:id="rId40" o:title=""/>
          </v:shape>
          <o:OLEObject Type="Embed" ProgID="PowerPoint.Slide.12" ShapeID="_x0000_i1029" DrawAspect="Content" ObjectID="_1531820243" r:id="rId41"/>
        </w:object>
      </w:r>
    </w:p>
    <w:p w:rsidR="00E1134A" w:rsidRPr="00E1134A" w:rsidRDefault="00E1134A" w:rsidP="00E1134A">
      <w:pPr>
        <w:ind w:firstLine="567"/>
        <w:jc w:val="center"/>
        <w:rPr>
          <w:rFonts w:ascii="Times New Roman" w:hAnsi="Times New Roman" w:cs="Times New Roman"/>
          <w:i/>
          <w:sz w:val="24"/>
          <w:szCs w:val="24"/>
        </w:rPr>
      </w:pPr>
      <w:r>
        <w:rPr>
          <w:rFonts w:ascii="Times New Roman" w:hAnsi="Times New Roman" w:cs="Times New Roman"/>
          <w:i/>
          <w:sz w:val="24"/>
          <w:szCs w:val="24"/>
        </w:rPr>
        <w:t>Рисунок 25</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На 2016 год планируется исполнение бюджета по доходам в объеме 1 766 млн. рублей. Со снижением к 2015 году на 292 млн. рублей, а по сравнению с 2014 – на 892 млн. рублей. </w:t>
      </w:r>
    </w:p>
    <w:p w:rsidR="006945E3" w:rsidRPr="00E1134A" w:rsidRDefault="006945E3" w:rsidP="00E1134A">
      <w:pPr>
        <w:spacing w:after="0"/>
        <w:ind w:firstLine="567"/>
        <w:jc w:val="both"/>
        <w:rPr>
          <w:rFonts w:ascii="Times New Roman" w:hAnsi="Times New Roman" w:cs="Times New Roman"/>
          <w:color w:val="000000"/>
          <w:sz w:val="28"/>
          <w:szCs w:val="28"/>
        </w:rPr>
      </w:pPr>
      <w:r w:rsidRPr="00E1134A">
        <w:rPr>
          <w:rFonts w:ascii="Times New Roman" w:hAnsi="Times New Roman" w:cs="Times New Roman"/>
          <w:color w:val="000000"/>
          <w:sz w:val="28"/>
          <w:szCs w:val="28"/>
        </w:rPr>
        <w:t>Расходы бюджета муниципального образования составили в 2015 году 2 249 млн. рублей. Наблюдается тенденция к сокращению расходов местного бюджета. В 2015 году расходы сократились на 112 млн. рублей  к объему 2014 года, в 2016 году снижение запланировано в сумме 428 млн. рублей к 2015 году. За 3 года снижение объема расходов составит 540 млн. рублей (более полумиллиарда).</w:t>
      </w:r>
    </w:p>
    <w:p w:rsidR="006945E3" w:rsidRDefault="006945E3" w:rsidP="006945E3">
      <w:pPr>
        <w:ind w:firstLine="567"/>
        <w:jc w:val="both"/>
        <w:rPr>
          <w:color w:val="000000"/>
          <w:sz w:val="26"/>
          <w:szCs w:val="26"/>
        </w:rPr>
      </w:pPr>
    </w:p>
    <w:p w:rsidR="006945E3" w:rsidRDefault="004477FB" w:rsidP="006945E3">
      <w:pPr>
        <w:ind w:firstLine="567"/>
        <w:jc w:val="center"/>
        <w:rPr>
          <w:color w:val="000000"/>
          <w:sz w:val="26"/>
          <w:szCs w:val="26"/>
        </w:rPr>
      </w:pPr>
      <w:r w:rsidRPr="00753C8C">
        <w:rPr>
          <w:color w:val="000000"/>
          <w:sz w:val="26"/>
          <w:szCs w:val="26"/>
        </w:rPr>
        <w:object w:dxaOrig="7167" w:dyaOrig="5353">
          <v:shape id="_x0000_i1030" type="#_x0000_t75" style="width:406.65pt;height:253.65pt" o:ole="">
            <v:imagedata r:id="rId42" o:title=""/>
          </v:shape>
          <o:OLEObject Type="Embed" ProgID="PowerPoint.Slide.12" ShapeID="_x0000_i1030" DrawAspect="Content" ObjectID="_1531820244" r:id="rId43"/>
        </w:object>
      </w:r>
    </w:p>
    <w:p w:rsidR="00E1134A"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26</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Если направления расходов бюджета муниципального образования разделить на финансирование производственных и непроизводственных отраслей, то в 2014-2015 годах наблюдается преобладание расходов на производственную сферу, в 2016 году прогнозируется перевес в сторону финансирования непроизводственной. </w:t>
      </w:r>
    </w:p>
    <w:p w:rsidR="006945E3" w:rsidRPr="00E1134A" w:rsidRDefault="006945E3" w:rsidP="00E1134A">
      <w:pPr>
        <w:shd w:val="clear" w:color="auto" w:fill="FFFFFF"/>
        <w:spacing w:after="0" w:line="298" w:lineRule="exact"/>
        <w:ind w:right="101" w:firstLine="567"/>
        <w:jc w:val="both"/>
        <w:rPr>
          <w:rFonts w:ascii="Times New Roman" w:hAnsi="Times New Roman" w:cs="Times New Roman"/>
          <w:color w:val="000000"/>
          <w:sz w:val="28"/>
          <w:szCs w:val="28"/>
        </w:rPr>
      </w:pPr>
      <w:r w:rsidRPr="00E1134A">
        <w:rPr>
          <w:rFonts w:ascii="Times New Roman" w:hAnsi="Times New Roman" w:cs="Times New Roman"/>
          <w:color w:val="000000"/>
          <w:sz w:val="28"/>
          <w:szCs w:val="28"/>
        </w:rPr>
        <w:t xml:space="preserve">В 2015 году на расходы в области экономики и жилищно-коммунального хозяйства направлено 1 278 млн. рублей – это 57 процентов от объема расходов бюджета, что на 98 млн. рублей меньше объема финансирования 2014 года, на социально-культурную сферу и управление из бюджета направлено 43 процента общей суммы расходов или 968 млн. рублей, снижение на 2 процента к 2014 году. </w:t>
      </w:r>
    </w:p>
    <w:p w:rsidR="006945E3" w:rsidRPr="00E1134A" w:rsidRDefault="006945E3" w:rsidP="00E1134A">
      <w:pPr>
        <w:shd w:val="clear" w:color="auto" w:fill="FFFFFF"/>
        <w:spacing w:after="0" w:line="298" w:lineRule="exact"/>
        <w:ind w:right="101" w:firstLine="567"/>
        <w:jc w:val="both"/>
        <w:rPr>
          <w:rFonts w:ascii="Times New Roman" w:hAnsi="Times New Roman" w:cs="Times New Roman"/>
          <w:color w:val="000000"/>
          <w:sz w:val="28"/>
          <w:szCs w:val="28"/>
        </w:rPr>
      </w:pPr>
    </w:p>
    <w:p w:rsidR="006945E3" w:rsidRDefault="00E1134A" w:rsidP="006945E3">
      <w:pPr>
        <w:jc w:val="center"/>
        <w:rPr>
          <w:sz w:val="26"/>
          <w:szCs w:val="26"/>
        </w:rPr>
      </w:pPr>
      <w:r w:rsidRPr="00AF2025">
        <w:rPr>
          <w:sz w:val="26"/>
          <w:szCs w:val="26"/>
        </w:rPr>
        <w:object w:dxaOrig="7167" w:dyaOrig="5353">
          <v:shape id="_x0000_i1031" type="#_x0000_t75" style="width:358.35pt;height:267.65pt" o:ole="">
            <v:imagedata r:id="rId44" o:title=""/>
          </v:shape>
          <o:OLEObject Type="Embed" ProgID="PowerPoint.Slide.12" ShapeID="_x0000_i1031" DrawAspect="Content" ObjectID="_1531820245" r:id="rId45"/>
        </w:object>
      </w:r>
    </w:p>
    <w:p w:rsidR="00E1134A"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27</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В структуре расходов основными направлениями являются: </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расходы в сфере экономики с объемом средств 647 млн. рублей, что выше показателя 2014 года на 205 млн. рублей, почти в 1,5 раза;</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финансирование жилищно-коммунального хозяйства, на что в 2015 году направлен 631 млн. рублей, со снижением объема по сравнению с 2014 годом на 32 процента или 303 млн. рублей;</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а также предоставление услуг и прочие расходы в сфере образования с объемом средств 565 млн. рублей, расходы уменьшились на 51 млн. рублей по сравнению с 2014 годом, ввиду уменьшения объемов капитальных вложений.</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Кроме этого бюджетным финансированием обеспечено:</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предоставления услуг и другие расходы в сфере культуры в объеме 88 млн. рублей, что больше расходов 2014 года на 18 млн. рублей, на 26 процентов;</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выплаты по социальной поддержке отдельных категорий граждан, на что направлено в 2015 году 91 млн. рублей с ростом по отношению к 2014 году на 10 млн. рублей;</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расходы на финансирование развития физической культуры и спорта в объеме 11 млн. рублей;</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поддержка средств массовой информации, в части финансового обеспечения муниципального задания в размере 7 млн. рублей;</w:t>
      </w:r>
    </w:p>
    <w:p w:rsidR="006945E3" w:rsidRPr="00E1134A" w:rsidRDefault="006945E3" w:rsidP="00E1134A">
      <w:pPr>
        <w:spacing w:after="0"/>
        <w:jc w:val="both"/>
        <w:rPr>
          <w:rFonts w:ascii="Times New Roman" w:hAnsi="Times New Roman" w:cs="Times New Roman"/>
          <w:sz w:val="28"/>
          <w:szCs w:val="28"/>
        </w:rPr>
      </w:pPr>
      <w:r w:rsidRPr="00E1134A">
        <w:rPr>
          <w:rFonts w:ascii="Times New Roman" w:hAnsi="Times New Roman" w:cs="Times New Roman"/>
          <w:sz w:val="28"/>
          <w:szCs w:val="28"/>
        </w:rPr>
        <w:t>- и решение общегосударственных вопросов, на что направлено 205 млн. рублей, с ростом к 2014 году на 6,5 процентов (12 млн. рублей).</w:t>
      </w:r>
    </w:p>
    <w:p w:rsidR="006945E3" w:rsidRPr="00E1134A" w:rsidRDefault="006945E3" w:rsidP="00E1134A">
      <w:pPr>
        <w:spacing w:after="0"/>
        <w:jc w:val="both"/>
        <w:rPr>
          <w:rFonts w:ascii="Times New Roman" w:hAnsi="Times New Roman" w:cs="Times New Roman"/>
          <w:sz w:val="28"/>
          <w:szCs w:val="28"/>
        </w:rPr>
      </w:pP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Расходы в экономическом сегменте направлены на развитие топливно-энергетического комплекса, сельского хозяйства, транспорта, дорожного хозяйства, поддержку малого и среднего предпринимательства.</w:t>
      </w:r>
    </w:p>
    <w:p w:rsidR="006945E3" w:rsidRDefault="006945E3" w:rsidP="006945E3">
      <w:pPr>
        <w:ind w:firstLine="567"/>
        <w:jc w:val="both"/>
        <w:rPr>
          <w:sz w:val="26"/>
          <w:szCs w:val="26"/>
        </w:rPr>
      </w:pPr>
    </w:p>
    <w:p w:rsidR="006945E3" w:rsidRDefault="00E1134A" w:rsidP="006945E3">
      <w:pPr>
        <w:jc w:val="center"/>
        <w:rPr>
          <w:sz w:val="26"/>
          <w:szCs w:val="26"/>
        </w:rPr>
      </w:pPr>
      <w:r w:rsidRPr="00851EA7">
        <w:rPr>
          <w:sz w:val="26"/>
          <w:szCs w:val="26"/>
        </w:rPr>
        <w:object w:dxaOrig="6399" w:dyaOrig="4780">
          <v:shape id="_x0000_i1032" type="#_x0000_t75" style="width:325pt;height:224.65pt" o:ole="">
            <v:imagedata r:id="rId46" o:title=""/>
          </v:shape>
          <o:OLEObject Type="Embed" ProgID="PowerPoint.Slide.12" ShapeID="_x0000_i1032" DrawAspect="Content" ObjectID="_1531820246" r:id="rId47"/>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28</w:t>
      </w:r>
    </w:p>
    <w:p w:rsidR="006945E3" w:rsidRPr="00E1134A" w:rsidRDefault="006945E3" w:rsidP="006945E3">
      <w:pPr>
        <w:ind w:firstLine="567"/>
        <w:jc w:val="both"/>
        <w:rPr>
          <w:rFonts w:ascii="Times New Roman" w:hAnsi="Times New Roman" w:cs="Times New Roman"/>
          <w:sz w:val="28"/>
          <w:szCs w:val="28"/>
        </w:rPr>
      </w:pPr>
      <w:r w:rsidRPr="00E1134A">
        <w:rPr>
          <w:rFonts w:ascii="Times New Roman" w:hAnsi="Times New Roman" w:cs="Times New Roman"/>
          <w:sz w:val="28"/>
          <w:szCs w:val="28"/>
        </w:rPr>
        <w:t>В сфере жилищно – коммунального хозяйства финансируются расходы на жилищное и коммунальное хозяйство, а также благоустройство территории муниципального образования. Расходы снижаются по годам ввиду уменьшения объемов софинансирования из областного бюджета.</w:t>
      </w:r>
    </w:p>
    <w:p w:rsidR="006945E3" w:rsidRDefault="00E1134A" w:rsidP="006945E3">
      <w:pPr>
        <w:jc w:val="center"/>
        <w:rPr>
          <w:sz w:val="26"/>
          <w:szCs w:val="26"/>
        </w:rPr>
      </w:pPr>
      <w:r w:rsidRPr="00851EA7">
        <w:rPr>
          <w:sz w:val="26"/>
          <w:szCs w:val="26"/>
        </w:rPr>
        <w:object w:dxaOrig="6130" w:dyaOrig="4581">
          <v:shape id="_x0000_i1033" type="#_x0000_t75" style="width:340pt;height:200.35pt" o:ole="">
            <v:imagedata r:id="rId48" o:title=""/>
          </v:shape>
          <o:OLEObject Type="Embed" ProgID="PowerPoint.Slide.12" ShapeID="_x0000_i1033" DrawAspect="Content" ObjectID="_1531820247" r:id="rId49"/>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29</w:t>
      </w:r>
    </w:p>
    <w:p w:rsidR="006945E3" w:rsidRPr="00E1134A" w:rsidRDefault="006945E3" w:rsidP="006945E3">
      <w:pPr>
        <w:ind w:firstLine="567"/>
        <w:jc w:val="both"/>
        <w:rPr>
          <w:rFonts w:ascii="Times New Roman" w:hAnsi="Times New Roman" w:cs="Times New Roman"/>
          <w:sz w:val="28"/>
          <w:szCs w:val="28"/>
        </w:rPr>
      </w:pPr>
      <w:r w:rsidRPr="00E1134A">
        <w:rPr>
          <w:rFonts w:ascii="Times New Roman" w:hAnsi="Times New Roman" w:cs="Times New Roman"/>
          <w:sz w:val="28"/>
          <w:szCs w:val="28"/>
        </w:rPr>
        <w:lastRenderedPageBreak/>
        <w:t>В образовании за счет бюджета обеспечивается предоставление  услуг по дошкольному образованию, общему и дополнительному образованию, а также летний отдых детей и подростков.</w:t>
      </w:r>
    </w:p>
    <w:p w:rsidR="006945E3" w:rsidRDefault="006945E3" w:rsidP="006945E3">
      <w:pPr>
        <w:ind w:firstLine="567"/>
        <w:jc w:val="both"/>
        <w:rPr>
          <w:sz w:val="26"/>
          <w:szCs w:val="26"/>
        </w:rPr>
      </w:pPr>
    </w:p>
    <w:p w:rsidR="006945E3" w:rsidRDefault="004477FB" w:rsidP="006945E3">
      <w:pPr>
        <w:jc w:val="center"/>
        <w:rPr>
          <w:sz w:val="26"/>
          <w:szCs w:val="26"/>
        </w:rPr>
      </w:pPr>
      <w:r w:rsidRPr="00851EA7">
        <w:rPr>
          <w:sz w:val="26"/>
          <w:szCs w:val="26"/>
        </w:rPr>
        <w:object w:dxaOrig="6026" w:dyaOrig="4500">
          <v:shape id="_x0000_i1034" type="#_x0000_t75" style="width:380pt;height:230.65pt" o:ole="">
            <v:imagedata r:id="rId50" o:title=""/>
          </v:shape>
          <o:OLEObject Type="Embed" ProgID="PowerPoint.Slide.12" ShapeID="_x0000_i1034" DrawAspect="Content" ObjectID="_1531820248" r:id="rId51"/>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30</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В сфере культуры обеспечено финансированием предоставление услуг по художественно-творческой деятельности, библиотечному обслуживанию населения, обеспечению доступа населения к культурным ценностям.  </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Бюджет муниципального образования уже два года утверждается и исполняется как программный, доля расходов на программные мероприятия ежегодно увеличивается. В 2014 году финансирование муниципальных программ составляло  78 процентов от общего объема расходов бюджета, в 2015 – это уже 85 процентов, на 2016 доля программных расходов запланирована в объеме 87 процентов.</w:t>
      </w:r>
    </w:p>
    <w:p w:rsidR="006945E3" w:rsidRDefault="006945E3" w:rsidP="006945E3">
      <w:pPr>
        <w:ind w:firstLine="567"/>
        <w:jc w:val="both"/>
        <w:rPr>
          <w:sz w:val="26"/>
          <w:szCs w:val="26"/>
        </w:rPr>
      </w:pPr>
    </w:p>
    <w:p w:rsidR="004477FB" w:rsidRPr="004477FB" w:rsidRDefault="004477FB" w:rsidP="004477FB">
      <w:pPr>
        <w:jc w:val="center"/>
        <w:rPr>
          <w:sz w:val="26"/>
          <w:szCs w:val="26"/>
        </w:rPr>
      </w:pPr>
      <w:r w:rsidRPr="00851EA7">
        <w:rPr>
          <w:sz w:val="26"/>
          <w:szCs w:val="26"/>
        </w:rPr>
        <w:object w:dxaOrig="5685" w:dyaOrig="4246">
          <v:shape id="_x0000_i1035" type="#_x0000_t75" style="width:373.65pt;height:225pt" o:ole="">
            <v:imagedata r:id="rId52" o:title=""/>
          </v:shape>
          <o:OLEObject Type="Embed" ProgID="PowerPoint.Slide.12" ShapeID="_x0000_i1035" DrawAspect="Content" ObjectID="_1531820249" r:id="rId53"/>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31</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По экономической структуре основные направление расходов - это расходы на:</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  закупки товаров работ и услуг для муниципальных нужд с объемом средств 458 млн. рублей с ростом к 2014 году в 1,7 раза или на 185 млн. рублей; </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 капитальные вложения в объекты недвижимого имущества с объемом вложений 38 процентов от общей суммы расходов бюджета или 854 млн. рублей, с уменьшением по отношению к 2014 году на четверть (25 процентов) или на 284 млн. рублей, в 2016 году запланировано сокращение данных расходов на 30 процентов к 2015 году в сумме 608 млн. рублей; </w:t>
      </w:r>
    </w:p>
    <w:p w:rsidR="006945E3" w:rsidRPr="00E1134A" w:rsidRDefault="006945E3" w:rsidP="00E1134A">
      <w:pPr>
        <w:spacing w:after="0"/>
        <w:ind w:firstLine="567"/>
        <w:jc w:val="both"/>
        <w:rPr>
          <w:rFonts w:ascii="Times New Roman" w:hAnsi="Times New Roman" w:cs="Times New Roman"/>
          <w:sz w:val="28"/>
          <w:szCs w:val="28"/>
        </w:rPr>
      </w:pPr>
      <w:r w:rsidRPr="00E1134A">
        <w:rPr>
          <w:rFonts w:ascii="Times New Roman" w:hAnsi="Times New Roman" w:cs="Times New Roman"/>
          <w:sz w:val="28"/>
          <w:szCs w:val="28"/>
        </w:rPr>
        <w:t>- расходы на предоставление субсидий бюджетным и автономным учреждениям в объеме 29 процентов общей суммы расходов или 649 млн. рублей с ростом к 2014 году на 67 млн. рублей.</w:t>
      </w:r>
    </w:p>
    <w:p w:rsidR="006945E3" w:rsidRDefault="006945E3" w:rsidP="006945E3">
      <w:pPr>
        <w:ind w:firstLine="567"/>
        <w:jc w:val="both"/>
        <w:rPr>
          <w:sz w:val="26"/>
          <w:szCs w:val="26"/>
        </w:rPr>
      </w:pPr>
    </w:p>
    <w:p w:rsidR="006945E3" w:rsidRDefault="004477FB" w:rsidP="006945E3">
      <w:pPr>
        <w:jc w:val="center"/>
        <w:rPr>
          <w:sz w:val="26"/>
          <w:szCs w:val="26"/>
        </w:rPr>
      </w:pPr>
      <w:r w:rsidRPr="00851EA7">
        <w:rPr>
          <w:sz w:val="26"/>
          <w:szCs w:val="26"/>
        </w:rPr>
        <w:object w:dxaOrig="6460" w:dyaOrig="4826">
          <v:shape id="_x0000_i1036" type="#_x0000_t75" style="width:312pt;height:208.65pt" o:ole="">
            <v:imagedata r:id="rId54" o:title=""/>
          </v:shape>
          <o:OLEObject Type="Embed" ProgID="PowerPoint.Slide.12" ShapeID="_x0000_i1036" DrawAspect="Content" ObjectID="_1531820250" r:id="rId55"/>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32</w:t>
      </w:r>
    </w:p>
    <w:p w:rsidR="006945E3" w:rsidRPr="00E1134A" w:rsidRDefault="006945E3" w:rsidP="006945E3">
      <w:pPr>
        <w:ind w:firstLine="567"/>
        <w:jc w:val="both"/>
        <w:rPr>
          <w:rFonts w:ascii="Times New Roman" w:hAnsi="Times New Roman" w:cs="Times New Roman"/>
          <w:sz w:val="28"/>
          <w:szCs w:val="28"/>
        </w:rPr>
      </w:pPr>
      <w:r w:rsidRPr="00E1134A">
        <w:rPr>
          <w:rFonts w:ascii="Times New Roman" w:hAnsi="Times New Roman" w:cs="Times New Roman"/>
          <w:sz w:val="28"/>
          <w:szCs w:val="28"/>
        </w:rPr>
        <w:t>В расходах на обеспечение закупок основное направление (60 процентов или 277 млн. рублей) составляют расходы на дорожное хозяйство, 28 процентов, 129 млн. рублей направлено на закупки в сфере жилищно-коммунального хозяйства (обеспечение бесперебойной работы объектов, капитальный ремонт объектов коммунального хозяйства и жилищного фонда, выполнение работ по благоустройству).</w:t>
      </w:r>
    </w:p>
    <w:p w:rsidR="006945E3" w:rsidRDefault="006945E3" w:rsidP="006945E3">
      <w:pPr>
        <w:ind w:firstLine="567"/>
        <w:jc w:val="both"/>
        <w:rPr>
          <w:sz w:val="26"/>
          <w:szCs w:val="26"/>
        </w:rPr>
      </w:pPr>
    </w:p>
    <w:p w:rsidR="006945E3" w:rsidRDefault="004477FB" w:rsidP="006945E3">
      <w:pPr>
        <w:jc w:val="center"/>
        <w:rPr>
          <w:sz w:val="26"/>
          <w:szCs w:val="26"/>
        </w:rPr>
      </w:pPr>
      <w:r w:rsidRPr="00851EA7">
        <w:rPr>
          <w:sz w:val="26"/>
          <w:szCs w:val="26"/>
        </w:rPr>
        <w:object w:dxaOrig="6253" w:dyaOrig="4670">
          <v:shape id="_x0000_i1037" type="#_x0000_t75" style="width:362.35pt;height:214.35pt" o:ole="">
            <v:imagedata r:id="rId56" o:title=""/>
          </v:shape>
          <o:OLEObject Type="Embed" ProgID="PowerPoint.Slide.12" ShapeID="_x0000_i1037" DrawAspect="Content" ObjectID="_1531820251" r:id="rId57"/>
        </w:object>
      </w:r>
    </w:p>
    <w:p w:rsidR="006945E3" w:rsidRPr="00E1134A" w:rsidRDefault="00E1134A" w:rsidP="00E1134A">
      <w:pPr>
        <w:jc w:val="center"/>
        <w:rPr>
          <w:rFonts w:ascii="Times New Roman" w:hAnsi="Times New Roman" w:cs="Times New Roman"/>
          <w:i/>
          <w:sz w:val="24"/>
          <w:szCs w:val="24"/>
        </w:rPr>
      </w:pPr>
      <w:r w:rsidRPr="00E1134A">
        <w:rPr>
          <w:rFonts w:ascii="Times New Roman" w:hAnsi="Times New Roman" w:cs="Times New Roman"/>
          <w:i/>
          <w:sz w:val="24"/>
          <w:szCs w:val="24"/>
        </w:rPr>
        <w:t>Рисунок 33</w:t>
      </w:r>
    </w:p>
    <w:p w:rsidR="006945E3" w:rsidRPr="004477FB" w:rsidRDefault="006945E3" w:rsidP="004477FB">
      <w:pPr>
        <w:ind w:firstLine="567"/>
        <w:jc w:val="both"/>
        <w:rPr>
          <w:rFonts w:ascii="Times New Roman" w:hAnsi="Times New Roman" w:cs="Times New Roman"/>
          <w:sz w:val="28"/>
          <w:szCs w:val="28"/>
        </w:rPr>
      </w:pPr>
      <w:r w:rsidRPr="00E1134A">
        <w:rPr>
          <w:rFonts w:ascii="Times New Roman" w:hAnsi="Times New Roman" w:cs="Times New Roman"/>
          <w:sz w:val="28"/>
          <w:szCs w:val="28"/>
        </w:rPr>
        <w:t xml:space="preserve">Капитальные вложения в объекты недвижимого имущества муниципальной собственности в 2015 году значительно снизились по сравнению с показателями 2014 года. Основной объем средств на капитальные вложения в объекты муниципальной собственности </w:t>
      </w:r>
      <w:r w:rsidRPr="00E1134A">
        <w:rPr>
          <w:rFonts w:ascii="Times New Roman" w:hAnsi="Times New Roman" w:cs="Times New Roman"/>
          <w:sz w:val="28"/>
          <w:szCs w:val="28"/>
        </w:rPr>
        <w:lastRenderedPageBreak/>
        <w:t>предоставляется из областного бюджета. В 2015 году это 84 процента об общей суммы бюджетных инвестиций, в 2014 году доля софинансирования из областного бюджета составляла 90 процентов, на 2016 год пл</w:t>
      </w:r>
      <w:r w:rsidR="004477FB">
        <w:rPr>
          <w:rFonts w:ascii="Times New Roman" w:hAnsi="Times New Roman" w:cs="Times New Roman"/>
          <w:sz w:val="28"/>
          <w:szCs w:val="28"/>
        </w:rPr>
        <w:t>анируется в объеме 92 процента.</w:t>
      </w:r>
    </w:p>
    <w:p w:rsidR="006945E3" w:rsidRDefault="004477FB" w:rsidP="006945E3">
      <w:pPr>
        <w:jc w:val="center"/>
        <w:rPr>
          <w:sz w:val="26"/>
          <w:szCs w:val="26"/>
        </w:rPr>
      </w:pPr>
      <w:r w:rsidRPr="00851EA7">
        <w:rPr>
          <w:sz w:val="26"/>
          <w:szCs w:val="26"/>
        </w:rPr>
        <w:object w:dxaOrig="6207" w:dyaOrig="4634">
          <v:shape id="_x0000_i1038" type="#_x0000_t75" style="width:354pt;height:210pt" o:ole="">
            <v:imagedata r:id="rId58" o:title=""/>
          </v:shape>
          <o:OLEObject Type="Embed" ProgID="PowerPoint.Slide.12" ShapeID="_x0000_i1038" DrawAspect="Content" ObjectID="_1531820252" r:id="rId59"/>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34</w:t>
      </w:r>
    </w:p>
    <w:p w:rsidR="006945E3" w:rsidRPr="00E1134A" w:rsidRDefault="006945E3" w:rsidP="006945E3">
      <w:pPr>
        <w:ind w:firstLine="567"/>
        <w:jc w:val="both"/>
        <w:rPr>
          <w:rFonts w:ascii="Times New Roman" w:hAnsi="Times New Roman" w:cs="Times New Roman"/>
          <w:sz w:val="28"/>
          <w:szCs w:val="28"/>
        </w:rPr>
      </w:pPr>
      <w:r w:rsidRPr="00E1134A">
        <w:rPr>
          <w:rFonts w:ascii="Times New Roman" w:hAnsi="Times New Roman" w:cs="Times New Roman"/>
          <w:sz w:val="28"/>
          <w:szCs w:val="28"/>
        </w:rPr>
        <w:t>Основные капитальные вложения осуществляются в национальной экономике (40%), в жилищно-коммунальном хозяйстве (51%) и образовании (6%). В 2015 году обеспечено развитие систем газификации, строительство и приобретение жилья, модернизация, техническое перевооружение и строительство объектов электро- тепло и водоснабжения и строительство детского сада.</w:t>
      </w:r>
    </w:p>
    <w:p w:rsidR="006945E3" w:rsidRPr="004014FD" w:rsidRDefault="004477FB" w:rsidP="006945E3">
      <w:pPr>
        <w:jc w:val="center"/>
        <w:rPr>
          <w:sz w:val="26"/>
          <w:szCs w:val="26"/>
        </w:rPr>
      </w:pPr>
      <w:r w:rsidRPr="00851EA7">
        <w:rPr>
          <w:sz w:val="26"/>
          <w:szCs w:val="26"/>
        </w:rPr>
        <w:object w:dxaOrig="7186" w:dyaOrig="5368">
          <v:shape id="_x0000_i1039" type="#_x0000_t75" style="width:354.65pt;height:228pt" o:ole="">
            <v:imagedata r:id="rId60" o:title=""/>
          </v:shape>
          <o:OLEObject Type="Embed" ProgID="PowerPoint.Slide.12" ShapeID="_x0000_i1039" DrawAspect="Content" ObjectID="_1531820253" r:id="rId61"/>
        </w:object>
      </w:r>
    </w:p>
    <w:p w:rsidR="006945E3" w:rsidRPr="00E1134A" w:rsidRDefault="00E1134A" w:rsidP="00E1134A">
      <w:pPr>
        <w:ind w:firstLine="567"/>
        <w:jc w:val="center"/>
        <w:rPr>
          <w:rFonts w:ascii="Times New Roman" w:hAnsi="Times New Roman" w:cs="Times New Roman"/>
          <w:i/>
          <w:sz w:val="24"/>
          <w:szCs w:val="24"/>
        </w:rPr>
      </w:pPr>
      <w:r w:rsidRPr="00E1134A">
        <w:rPr>
          <w:rFonts w:ascii="Times New Roman" w:hAnsi="Times New Roman" w:cs="Times New Roman"/>
          <w:i/>
          <w:sz w:val="24"/>
          <w:szCs w:val="24"/>
        </w:rPr>
        <w:t>Рисунок 35</w:t>
      </w:r>
    </w:p>
    <w:p w:rsidR="006945E3" w:rsidRPr="00E1134A" w:rsidRDefault="006945E3" w:rsidP="006945E3">
      <w:pPr>
        <w:ind w:firstLine="567"/>
        <w:jc w:val="both"/>
        <w:rPr>
          <w:rFonts w:ascii="Times New Roman" w:hAnsi="Times New Roman" w:cs="Times New Roman"/>
          <w:sz w:val="28"/>
          <w:szCs w:val="28"/>
        </w:rPr>
      </w:pPr>
      <w:r w:rsidRPr="00E1134A">
        <w:rPr>
          <w:rFonts w:ascii="Times New Roman" w:hAnsi="Times New Roman" w:cs="Times New Roman"/>
          <w:sz w:val="28"/>
          <w:szCs w:val="28"/>
        </w:rPr>
        <w:lastRenderedPageBreak/>
        <w:t xml:space="preserve">Ежегодно увеличиваются расходы бюджета на предоставление субсидий бюджетным и автономным учреждениям.  В 2015 году увеличение составило 67 млн. рублей по сравнению с 2014. Большая часть средств, 75 процентов или 480 млн. рублей, направлена на обеспечение учреждений образования, 13 процентов или 85 млн. рублей субсидий направлено на услуги в сфере культуры.  </w:t>
      </w:r>
    </w:p>
    <w:p w:rsidR="00C42E74" w:rsidRPr="00F31909" w:rsidRDefault="00C42E74" w:rsidP="00C42E74">
      <w:pPr>
        <w:shd w:val="clear" w:color="auto" w:fill="FFFFFF"/>
        <w:spacing w:before="283" w:line="307" w:lineRule="exact"/>
        <w:ind w:left="29" w:right="1" w:hanging="29"/>
        <w:jc w:val="both"/>
        <w:rPr>
          <w:sz w:val="26"/>
          <w:szCs w:val="26"/>
        </w:rPr>
      </w:pPr>
    </w:p>
    <w:p w:rsidR="00664A86" w:rsidRDefault="004477FB" w:rsidP="00146562">
      <w:pPr>
        <w:spacing w:after="0"/>
        <w:jc w:val="center"/>
        <w:rPr>
          <w:rFonts w:ascii="Times New Roman" w:hAnsi="Times New Roman" w:cs="Times New Roman"/>
          <w:b/>
          <w:sz w:val="28"/>
          <w:szCs w:val="28"/>
        </w:rPr>
      </w:pPr>
      <w:r w:rsidRPr="004477FB">
        <w:rPr>
          <w:rFonts w:ascii="Times New Roman" w:hAnsi="Times New Roman" w:cs="Times New Roman"/>
          <w:b/>
          <w:sz w:val="28"/>
          <w:szCs w:val="28"/>
        </w:rPr>
        <w:t>Социальная сфера</w:t>
      </w:r>
    </w:p>
    <w:p w:rsidR="00146562" w:rsidRPr="00A629DB" w:rsidRDefault="00146562" w:rsidP="00146562">
      <w:pPr>
        <w:spacing w:after="0"/>
        <w:rPr>
          <w:rFonts w:ascii="Times New Roman" w:hAnsi="Times New Roman" w:cs="Times New Roman"/>
          <w:b/>
          <w:i/>
          <w:sz w:val="28"/>
          <w:szCs w:val="28"/>
        </w:rPr>
      </w:pPr>
      <w:r w:rsidRPr="00A629DB">
        <w:rPr>
          <w:rFonts w:ascii="Times New Roman" w:hAnsi="Times New Roman" w:cs="Times New Roman"/>
          <w:b/>
          <w:sz w:val="28"/>
          <w:szCs w:val="28"/>
        </w:rPr>
        <w:tab/>
      </w:r>
      <w:r w:rsidRPr="00A629DB">
        <w:rPr>
          <w:rFonts w:ascii="Times New Roman" w:hAnsi="Times New Roman" w:cs="Times New Roman"/>
          <w:b/>
          <w:i/>
          <w:sz w:val="28"/>
          <w:szCs w:val="28"/>
        </w:rPr>
        <w:t>Образование</w:t>
      </w:r>
    </w:p>
    <w:p w:rsidR="0073399A" w:rsidRDefault="0073399A" w:rsidP="00146562">
      <w:pPr>
        <w:spacing w:after="0" w:line="240" w:lineRule="auto"/>
        <w:ind w:firstLine="708"/>
        <w:jc w:val="both"/>
        <w:rPr>
          <w:rFonts w:ascii="Times New Roman" w:hAnsi="Times New Roman"/>
          <w:sz w:val="28"/>
          <w:szCs w:val="28"/>
        </w:rPr>
      </w:pPr>
      <w:r w:rsidRPr="00A629DB">
        <w:rPr>
          <w:rFonts w:ascii="Times New Roman" w:hAnsi="Times New Roman"/>
          <w:sz w:val="28"/>
          <w:szCs w:val="28"/>
        </w:rPr>
        <w:t xml:space="preserve">На территории городского округа функционирует 11 образовательных </w:t>
      </w:r>
      <w:bookmarkStart w:id="0" w:name="_GoBack"/>
      <w:r w:rsidRPr="00A629DB">
        <w:rPr>
          <w:rFonts w:ascii="Times New Roman" w:hAnsi="Times New Roman"/>
          <w:sz w:val="28"/>
          <w:szCs w:val="28"/>
        </w:rPr>
        <w:t>учреждений подведомственных органу управления образованием.</w:t>
      </w:r>
      <w:bookmarkEnd w:id="0"/>
    </w:p>
    <w:p w:rsidR="00B82EBE" w:rsidRDefault="00B82EBE" w:rsidP="00146562">
      <w:pPr>
        <w:spacing w:after="0" w:line="240" w:lineRule="auto"/>
        <w:ind w:firstLine="708"/>
        <w:jc w:val="both"/>
        <w:rPr>
          <w:rFonts w:ascii="Times New Roman" w:hAnsi="Times New Roman"/>
          <w:sz w:val="28"/>
          <w:szCs w:val="28"/>
        </w:rPr>
      </w:pPr>
    </w:p>
    <w:p w:rsidR="00EA3099" w:rsidRDefault="00EA3099" w:rsidP="00EA3099">
      <w:pPr>
        <w:spacing w:after="0" w:line="240" w:lineRule="auto"/>
        <w:ind w:firstLine="708"/>
        <w:jc w:val="center"/>
        <w:rPr>
          <w:rFonts w:ascii="Times New Roman" w:hAnsi="Times New Roman"/>
          <w:b/>
          <w:sz w:val="28"/>
          <w:szCs w:val="28"/>
        </w:rPr>
      </w:pPr>
      <w:r>
        <w:rPr>
          <w:rFonts w:ascii="Times New Roman" w:hAnsi="Times New Roman"/>
          <w:b/>
          <w:sz w:val="28"/>
          <w:szCs w:val="28"/>
        </w:rPr>
        <w:t xml:space="preserve">Численность детей, </w:t>
      </w:r>
    </w:p>
    <w:p w:rsidR="00B82EBE" w:rsidRPr="00EA3099" w:rsidRDefault="00EA3099" w:rsidP="00EA3099">
      <w:pPr>
        <w:spacing w:after="0" w:line="240" w:lineRule="auto"/>
        <w:ind w:firstLine="708"/>
        <w:jc w:val="center"/>
        <w:rPr>
          <w:rFonts w:ascii="Times New Roman" w:hAnsi="Times New Roman"/>
          <w:b/>
          <w:sz w:val="28"/>
          <w:szCs w:val="28"/>
        </w:rPr>
      </w:pPr>
      <w:r>
        <w:rPr>
          <w:rFonts w:ascii="Times New Roman" w:hAnsi="Times New Roman"/>
          <w:b/>
          <w:sz w:val="28"/>
          <w:szCs w:val="28"/>
        </w:rPr>
        <w:t>посещающих образовательные учреждения, чел.</w:t>
      </w:r>
    </w:p>
    <w:p w:rsidR="00B82EBE" w:rsidRPr="002D0EE6" w:rsidRDefault="00B82EBE" w:rsidP="00B82EBE">
      <w:pPr>
        <w:spacing w:after="0" w:line="240" w:lineRule="auto"/>
        <w:jc w:val="both"/>
        <w:rPr>
          <w:rFonts w:ascii="Times New Roman" w:hAnsi="Times New Roman"/>
          <w:b/>
          <w:sz w:val="26"/>
          <w:szCs w:val="26"/>
          <w:u w:val="single"/>
        </w:rPr>
      </w:pPr>
      <w:r>
        <w:rPr>
          <w:rFonts w:ascii="Times New Roman" w:hAnsi="Times New Roman"/>
          <w:b/>
          <w:noProof/>
          <w:sz w:val="26"/>
          <w:szCs w:val="26"/>
          <w:u w:val="single"/>
        </w:rPr>
        <w:drawing>
          <wp:inline distT="0" distB="0" distL="0" distR="0">
            <wp:extent cx="5486400" cy="3200400"/>
            <wp:effectExtent l="19050" t="0" r="19050" b="0"/>
            <wp:docPr id="16"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EA3099" w:rsidRDefault="00EA3099" w:rsidP="00EA3099">
      <w:pPr>
        <w:spacing w:after="0" w:line="240" w:lineRule="auto"/>
        <w:ind w:firstLine="708"/>
        <w:jc w:val="center"/>
        <w:rPr>
          <w:rFonts w:ascii="Times New Roman" w:hAnsi="Times New Roman"/>
          <w:i/>
          <w:sz w:val="24"/>
          <w:szCs w:val="24"/>
        </w:rPr>
      </w:pPr>
    </w:p>
    <w:p w:rsidR="00B82EBE" w:rsidRPr="00EA3099" w:rsidRDefault="00EA3099" w:rsidP="00EA3099">
      <w:pPr>
        <w:spacing w:after="0" w:line="240" w:lineRule="auto"/>
        <w:ind w:firstLine="708"/>
        <w:jc w:val="center"/>
        <w:rPr>
          <w:rFonts w:ascii="Times New Roman" w:hAnsi="Times New Roman"/>
          <w:i/>
          <w:sz w:val="24"/>
          <w:szCs w:val="24"/>
        </w:rPr>
      </w:pPr>
      <w:r>
        <w:rPr>
          <w:rFonts w:ascii="Times New Roman" w:hAnsi="Times New Roman"/>
          <w:i/>
          <w:sz w:val="24"/>
          <w:szCs w:val="24"/>
        </w:rPr>
        <w:t>Рисунок 36</w:t>
      </w:r>
    </w:p>
    <w:p w:rsidR="00EA3099" w:rsidRDefault="00EA3099" w:rsidP="0073399A">
      <w:pPr>
        <w:spacing w:after="0" w:line="240" w:lineRule="auto"/>
        <w:ind w:firstLine="708"/>
        <w:jc w:val="both"/>
        <w:rPr>
          <w:rFonts w:ascii="Times New Roman" w:hAnsi="Times New Roman"/>
          <w:sz w:val="28"/>
          <w:szCs w:val="28"/>
        </w:rPr>
      </w:pP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sz w:val="28"/>
          <w:szCs w:val="28"/>
        </w:rPr>
        <w:t>Услугами  дошкольного образования охвачено  702 (в том числе 154-в дошкольных группах при СОШ) (67,2 %) ребёнка в</w:t>
      </w:r>
      <w:r w:rsidRPr="00A629DB">
        <w:rPr>
          <w:rFonts w:ascii="Times New Roman" w:hAnsi="Times New Roman"/>
          <w:color w:val="FF0000"/>
          <w:sz w:val="28"/>
          <w:szCs w:val="28"/>
        </w:rPr>
        <w:t xml:space="preserve"> </w:t>
      </w:r>
      <w:r w:rsidRPr="00A629DB">
        <w:rPr>
          <w:rFonts w:ascii="Times New Roman" w:hAnsi="Times New Roman"/>
          <w:sz w:val="28"/>
          <w:szCs w:val="28"/>
        </w:rPr>
        <w:t>возрасте от рождения  до 7 лет, а от 3 до 7 лет – 100 %.</w:t>
      </w: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sz w:val="28"/>
          <w:szCs w:val="28"/>
        </w:rPr>
        <w:t>На 01.01.2016 года очередь в дошкольные учреждения составляла 209 детей (на 01.01.15 - 232 чел.), из них 90,9 % в возрасте от 0 до 2 лет. В городском округе отсутствует очередь в детский сад детей от 3 до 7 лет.</w:t>
      </w: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sz w:val="28"/>
          <w:szCs w:val="28"/>
        </w:rPr>
        <w:t xml:space="preserve">В связи с введением Федерального государственного образовательного стандарта дошкольного образования, в течение 2015 года обновлялась материально-техническая база учреждений. На эти цели было израсходовано: </w:t>
      </w:r>
      <w:r w:rsidRPr="00A629DB">
        <w:rPr>
          <w:rFonts w:ascii="Times New Roman" w:hAnsi="Times New Roman"/>
          <w:sz w:val="28"/>
          <w:szCs w:val="28"/>
        </w:rPr>
        <w:lastRenderedPageBreak/>
        <w:t>8 108,2 тысяч рублей из областного бюджета; 2 305,5 тысяч рублей из местного бюджета; 616,6 тысяч рублей за счет грантовых проектов.</w:t>
      </w: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sz w:val="28"/>
          <w:szCs w:val="28"/>
        </w:rPr>
        <w:t>В двух дошкольных учреждениях оказываются платные образовательные услуги, которыми было охвачено 53 воспитанника.   От оказания платных услуг в бюджет поступило 97,1 тысяч рублей.</w:t>
      </w:r>
      <w:r w:rsidRPr="00A629DB">
        <w:rPr>
          <w:rFonts w:ascii="Times New Roman" w:hAnsi="Times New Roman"/>
          <w:sz w:val="28"/>
          <w:szCs w:val="28"/>
        </w:rPr>
        <w:tab/>
      </w: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sz w:val="28"/>
          <w:szCs w:val="28"/>
        </w:rPr>
        <w:t>В целях соблюдения требований антитеррористической безопасности во вновь построенном детском саду на 110 мест  установлена система видеонаблюдения, на эти цели было израсходовано</w:t>
      </w:r>
      <w:r w:rsidRPr="00A629DB">
        <w:rPr>
          <w:rFonts w:ascii="Times New Roman" w:hAnsi="Times New Roman"/>
          <w:color w:val="FF0000"/>
          <w:sz w:val="28"/>
          <w:szCs w:val="28"/>
        </w:rPr>
        <w:t xml:space="preserve"> </w:t>
      </w:r>
      <w:r w:rsidR="000D14F7" w:rsidRPr="00A629DB">
        <w:rPr>
          <w:rFonts w:ascii="Times New Roman" w:hAnsi="Times New Roman"/>
          <w:sz w:val="28"/>
          <w:szCs w:val="28"/>
        </w:rPr>
        <w:t>– 700,0 тыс. руб. из средств областного бюджета и</w:t>
      </w:r>
      <w:r w:rsidRPr="00A629DB">
        <w:rPr>
          <w:rFonts w:ascii="Times New Roman" w:hAnsi="Times New Roman"/>
          <w:sz w:val="28"/>
          <w:szCs w:val="28"/>
        </w:rPr>
        <w:t xml:space="preserve"> 138,2 тыс. руб.  местного бюджета.</w:t>
      </w:r>
    </w:p>
    <w:p w:rsidR="0073399A" w:rsidRPr="00A629DB" w:rsidRDefault="0073399A" w:rsidP="0073399A">
      <w:pPr>
        <w:spacing w:after="0" w:line="240" w:lineRule="auto"/>
        <w:jc w:val="both"/>
        <w:rPr>
          <w:rFonts w:ascii="Times New Roman" w:hAnsi="Times New Roman"/>
          <w:iCs/>
          <w:sz w:val="28"/>
          <w:szCs w:val="28"/>
        </w:rPr>
      </w:pPr>
      <w:r w:rsidRPr="00A629DB">
        <w:rPr>
          <w:rFonts w:ascii="Times New Roman" w:hAnsi="Times New Roman"/>
          <w:sz w:val="28"/>
          <w:szCs w:val="28"/>
        </w:rPr>
        <w:tab/>
        <w:t>В трех городских и двух сельских школах обучалось 1469 человек, из низ 54 человека – обучающиеся заочных классов при МБОУ СОШ № 1 п. Ноглики.</w:t>
      </w:r>
      <w:r w:rsidRPr="00A629DB">
        <w:rPr>
          <w:rFonts w:ascii="Times New Roman" w:hAnsi="Times New Roman"/>
          <w:iCs/>
          <w:sz w:val="28"/>
          <w:szCs w:val="28"/>
        </w:rPr>
        <w:t xml:space="preserve"> В общеобразовательных учреждениях  обучалось  18   детей - инвалидов, из них</w:t>
      </w:r>
      <w:r w:rsidR="000D14F7" w:rsidRPr="00A629DB">
        <w:rPr>
          <w:rFonts w:ascii="Times New Roman" w:hAnsi="Times New Roman"/>
          <w:iCs/>
          <w:sz w:val="28"/>
          <w:szCs w:val="28"/>
        </w:rPr>
        <w:t xml:space="preserve"> по адаптированным программам</w:t>
      </w:r>
      <w:r w:rsidRPr="00A629DB">
        <w:rPr>
          <w:rFonts w:ascii="Times New Roman" w:hAnsi="Times New Roman"/>
          <w:iCs/>
          <w:sz w:val="28"/>
          <w:szCs w:val="28"/>
        </w:rPr>
        <w:t xml:space="preserve">– 8  детей-инвалидов;  с применением дистанционных технологий  обучалось  четверо  детей-инвалидов.  Для организации  инклюзивного образования  детей с ограниченными возможностями здоровья приобретено из средств областного бюджета  оборудование на   сумму более 300,0 тысяч рублей.  </w:t>
      </w:r>
    </w:p>
    <w:p w:rsidR="0073399A" w:rsidRPr="00A629DB" w:rsidRDefault="0073399A" w:rsidP="0073399A">
      <w:pPr>
        <w:spacing w:after="0" w:line="240" w:lineRule="auto"/>
        <w:ind w:firstLine="708"/>
        <w:jc w:val="both"/>
        <w:rPr>
          <w:rFonts w:ascii="Times New Roman" w:hAnsi="Times New Roman"/>
          <w:sz w:val="28"/>
          <w:szCs w:val="28"/>
        </w:rPr>
      </w:pPr>
      <w:r w:rsidRPr="00A629DB">
        <w:rPr>
          <w:rFonts w:ascii="Times New Roman" w:hAnsi="Times New Roman"/>
          <w:i/>
          <w:iCs/>
          <w:sz w:val="28"/>
          <w:szCs w:val="28"/>
        </w:rPr>
        <w:t xml:space="preserve"> </w:t>
      </w:r>
      <w:r w:rsidRPr="00A629DB">
        <w:rPr>
          <w:rFonts w:ascii="Times New Roman" w:hAnsi="Times New Roman"/>
          <w:iCs/>
          <w:sz w:val="28"/>
          <w:szCs w:val="28"/>
        </w:rPr>
        <w:t xml:space="preserve">В подвозе детей к месту учебы и обратно в 2015 году было  задействовано 6 школьных автобусов, в 2014 году – 6, подвоз осуществляется за счёт средств местного бюджета </w:t>
      </w:r>
      <w:r w:rsidR="000D14F7" w:rsidRPr="00A629DB">
        <w:rPr>
          <w:rFonts w:ascii="Times New Roman" w:hAnsi="Times New Roman"/>
          <w:iCs/>
          <w:sz w:val="28"/>
          <w:szCs w:val="28"/>
        </w:rPr>
        <w:t>(</w:t>
      </w:r>
      <w:r w:rsidRPr="00A629DB">
        <w:rPr>
          <w:rFonts w:ascii="Times New Roman" w:hAnsi="Times New Roman"/>
          <w:iCs/>
          <w:sz w:val="28"/>
          <w:szCs w:val="28"/>
        </w:rPr>
        <w:t>1 611,3 тыс. руб.</w:t>
      </w:r>
      <w:r w:rsidR="000D14F7" w:rsidRPr="00A629DB">
        <w:rPr>
          <w:rFonts w:ascii="Times New Roman" w:hAnsi="Times New Roman"/>
          <w:iCs/>
          <w:sz w:val="28"/>
          <w:szCs w:val="28"/>
        </w:rPr>
        <w:t>).</w:t>
      </w:r>
      <w:r w:rsidRPr="00A629DB">
        <w:rPr>
          <w:rFonts w:ascii="Times New Roman" w:hAnsi="Times New Roman"/>
          <w:iCs/>
          <w:sz w:val="28"/>
          <w:szCs w:val="28"/>
        </w:rPr>
        <w:t xml:space="preserve"> Все транспортные средства оснащены согласно требованиям. Количество имеющихся автобусов соответствует необходимой потребности.</w:t>
      </w:r>
      <w:r w:rsidRPr="00A629DB">
        <w:rPr>
          <w:rFonts w:ascii="Times New Roman" w:hAnsi="Times New Roman"/>
          <w:sz w:val="28"/>
          <w:szCs w:val="28"/>
        </w:rPr>
        <w:t xml:space="preserve"> </w:t>
      </w:r>
    </w:p>
    <w:p w:rsidR="0073399A" w:rsidRPr="00A629DB" w:rsidRDefault="0073399A" w:rsidP="0073399A">
      <w:pPr>
        <w:spacing w:after="0" w:line="240" w:lineRule="auto"/>
        <w:ind w:firstLine="708"/>
        <w:jc w:val="both"/>
        <w:rPr>
          <w:rFonts w:ascii="Times New Roman" w:hAnsi="Times New Roman"/>
          <w:iCs/>
          <w:sz w:val="28"/>
          <w:szCs w:val="28"/>
        </w:rPr>
      </w:pPr>
      <w:r w:rsidRPr="00A629DB">
        <w:rPr>
          <w:rFonts w:ascii="Times New Roman" w:hAnsi="Times New Roman"/>
          <w:iCs/>
          <w:sz w:val="28"/>
          <w:szCs w:val="28"/>
        </w:rPr>
        <w:t xml:space="preserve">Питание в общеобразовательных организациях организовано в соответствии с предъявляемыми требованиями и нормативами. В 2015 году было охвачено питанием  за счет средств областного и местного бюджетов </w:t>
      </w:r>
      <w:r w:rsidRPr="00A629DB">
        <w:rPr>
          <w:rFonts w:ascii="Times New Roman" w:hAnsi="Times New Roman"/>
          <w:sz w:val="28"/>
          <w:szCs w:val="28"/>
        </w:rPr>
        <w:t xml:space="preserve">1396 </w:t>
      </w:r>
      <w:r w:rsidRPr="00A629DB">
        <w:rPr>
          <w:rFonts w:ascii="Times New Roman" w:hAnsi="Times New Roman"/>
          <w:iCs/>
          <w:sz w:val="28"/>
          <w:szCs w:val="28"/>
        </w:rPr>
        <w:t xml:space="preserve"> обучающихся, (97,3 %)  в том числе,   </w:t>
      </w:r>
      <w:r w:rsidRPr="00A629DB">
        <w:rPr>
          <w:rFonts w:ascii="Times New Roman" w:hAnsi="Times New Roman"/>
          <w:sz w:val="28"/>
          <w:szCs w:val="28"/>
        </w:rPr>
        <w:t>бесплатным питанием - 788 человек, в том числе: 587 из 1-4 классов, 266 из малообеспеченных семей, 153 - из числа коренных малочисленных народов Севера, 78 из многодетных семей. Всего израсходовано на горячее питание льготной к</w:t>
      </w:r>
      <w:r w:rsidR="000D14F7" w:rsidRPr="00A629DB">
        <w:rPr>
          <w:rFonts w:ascii="Times New Roman" w:hAnsi="Times New Roman"/>
          <w:sz w:val="28"/>
          <w:szCs w:val="28"/>
        </w:rPr>
        <w:t>атегории обучающихся 9, 8</w:t>
      </w:r>
      <w:r w:rsidRPr="00A629DB">
        <w:rPr>
          <w:rFonts w:ascii="Times New Roman" w:hAnsi="Times New Roman"/>
          <w:sz w:val="28"/>
          <w:szCs w:val="28"/>
        </w:rPr>
        <w:t xml:space="preserve"> </w:t>
      </w:r>
      <w:r w:rsidR="000D14F7" w:rsidRPr="00A629DB">
        <w:rPr>
          <w:rFonts w:ascii="Times New Roman" w:hAnsi="Times New Roman"/>
          <w:sz w:val="28"/>
          <w:szCs w:val="28"/>
        </w:rPr>
        <w:t xml:space="preserve">млн. </w:t>
      </w:r>
      <w:r w:rsidRPr="00A629DB">
        <w:rPr>
          <w:rFonts w:ascii="Times New Roman" w:hAnsi="Times New Roman"/>
          <w:sz w:val="28"/>
          <w:szCs w:val="28"/>
        </w:rPr>
        <w:t xml:space="preserve">руб.: </w:t>
      </w:r>
    </w:p>
    <w:p w:rsidR="0073399A" w:rsidRPr="00A629DB" w:rsidRDefault="0073399A" w:rsidP="000D14F7">
      <w:pPr>
        <w:spacing w:after="0" w:line="240" w:lineRule="auto"/>
        <w:ind w:firstLine="708"/>
        <w:jc w:val="both"/>
        <w:rPr>
          <w:rFonts w:ascii="Times New Roman" w:hAnsi="Times New Roman"/>
          <w:iCs/>
          <w:sz w:val="28"/>
          <w:szCs w:val="28"/>
        </w:rPr>
      </w:pPr>
      <w:r w:rsidRPr="00A629DB">
        <w:rPr>
          <w:rFonts w:ascii="Times New Roman" w:hAnsi="Times New Roman"/>
          <w:iCs/>
          <w:sz w:val="28"/>
          <w:szCs w:val="28"/>
        </w:rPr>
        <w:t>С 1 мая 2015г. в рацион питания обучающихся 1-4 классов было введено  молоко за счёт средств местного бюджета.</w:t>
      </w:r>
    </w:p>
    <w:p w:rsidR="0073399A" w:rsidRPr="00A629DB" w:rsidRDefault="0073399A" w:rsidP="0073399A">
      <w:pPr>
        <w:spacing w:after="0"/>
        <w:jc w:val="both"/>
        <w:rPr>
          <w:rFonts w:ascii="Times New Roman" w:hAnsi="Times New Roman"/>
          <w:color w:val="FF0000"/>
          <w:sz w:val="28"/>
          <w:szCs w:val="28"/>
        </w:rPr>
      </w:pPr>
      <w:r w:rsidRPr="00A629DB">
        <w:rPr>
          <w:rFonts w:ascii="Times New Roman" w:hAnsi="Times New Roman"/>
          <w:sz w:val="28"/>
          <w:szCs w:val="28"/>
        </w:rPr>
        <w:tab/>
        <w:t>На подготовку образовательных учреждений за год было израсходовано 28</w:t>
      </w:r>
      <w:r w:rsidR="000D14F7" w:rsidRPr="00A629DB">
        <w:rPr>
          <w:rFonts w:ascii="Times New Roman" w:hAnsi="Times New Roman"/>
          <w:sz w:val="28"/>
          <w:szCs w:val="28"/>
        </w:rPr>
        <w:t>, 8 млн.</w:t>
      </w:r>
      <w:r w:rsidRPr="00A629DB">
        <w:rPr>
          <w:rFonts w:ascii="Times New Roman" w:hAnsi="Times New Roman"/>
          <w:sz w:val="28"/>
          <w:szCs w:val="28"/>
        </w:rPr>
        <w:t xml:space="preserve"> руб. средств областного и местного бюджетов. В том числе: на капитальный ремонт МБОУ СОШ с. Ныш (замена плоской кровли на скатную, ремонт фасада, крылец, благоустройство территории и другие виды работ) израсходовано 11</w:t>
      </w:r>
      <w:r w:rsidR="000D14F7" w:rsidRPr="00A629DB">
        <w:rPr>
          <w:rFonts w:ascii="Times New Roman" w:hAnsi="Times New Roman"/>
          <w:sz w:val="28"/>
          <w:szCs w:val="28"/>
        </w:rPr>
        <w:t>,</w:t>
      </w:r>
      <w:r w:rsidRPr="00A629DB">
        <w:rPr>
          <w:rFonts w:ascii="Times New Roman" w:hAnsi="Times New Roman"/>
          <w:sz w:val="28"/>
          <w:szCs w:val="28"/>
        </w:rPr>
        <w:t xml:space="preserve">2 </w:t>
      </w:r>
      <w:r w:rsidR="000D14F7" w:rsidRPr="00A629DB">
        <w:rPr>
          <w:rFonts w:ascii="Times New Roman" w:hAnsi="Times New Roman"/>
          <w:sz w:val="28"/>
          <w:szCs w:val="28"/>
        </w:rPr>
        <w:t>млн</w:t>
      </w:r>
      <w:r w:rsidRPr="00A629DB">
        <w:rPr>
          <w:rFonts w:ascii="Times New Roman" w:hAnsi="Times New Roman"/>
          <w:sz w:val="28"/>
          <w:szCs w:val="28"/>
        </w:rPr>
        <w:t>. руб., на приведение учреждений в соответствие с требованиями Госпожнадзора 4</w:t>
      </w:r>
      <w:r w:rsidR="000D14F7" w:rsidRPr="00A629DB">
        <w:rPr>
          <w:rFonts w:ascii="Times New Roman" w:hAnsi="Times New Roman"/>
          <w:sz w:val="28"/>
          <w:szCs w:val="28"/>
        </w:rPr>
        <w:t xml:space="preserve"> млн.</w:t>
      </w:r>
      <w:r w:rsidRPr="00A629DB">
        <w:rPr>
          <w:rFonts w:ascii="Times New Roman" w:hAnsi="Times New Roman"/>
          <w:sz w:val="28"/>
          <w:szCs w:val="28"/>
        </w:rPr>
        <w:t xml:space="preserve"> руб.</w:t>
      </w:r>
      <w:r w:rsidR="000D14F7" w:rsidRPr="00A629DB">
        <w:rPr>
          <w:rFonts w:ascii="Times New Roman" w:hAnsi="Times New Roman"/>
          <w:sz w:val="28"/>
          <w:szCs w:val="28"/>
        </w:rPr>
        <w:t xml:space="preserve"> </w:t>
      </w:r>
      <w:r w:rsidRPr="00A629DB">
        <w:rPr>
          <w:rFonts w:ascii="Times New Roman" w:hAnsi="Times New Roman"/>
          <w:sz w:val="28"/>
          <w:szCs w:val="28"/>
        </w:rPr>
        <w:t>из средств местного бюджета.</w:t>
      </w:r>
    </w:p>
    <w:p w:rsidR="0073399A" w:rsidRPr="00A629DB" w:rsidRDefault="0073399A" w:rsidP="0073399A">
      <w:pPr>
        <w:spacing w:after="0" w:line="240" w:lineRule="auto"/>
        <w:jc w:val="both"/>
        <w:rPr>
          <w:rFonts w:ascii="Times New Roman" w:hAnsi="Times New Roman"/>
          <w:sz w:val="28"/>
          <w:szCs w:val="28"/>
        </w:rPr>
      </w:pPr>
      <w:r w:rsidRPr="00A629DB">
        <w:rPr>
          <w:rFonts w:ascii="Times New Roman" w:hAnsi="Times New Roman"/>
          <w:sz w:val="28"/>
          <w:szCs w:val="28"/>
        </w:rPr>
        <w:t xml:space="preserve">          100% школ имеют все виды благоустройства,   оборудованы  системами  автоматической пожарной сигнализации, 80 % школ  имеют лицензированные медицинские кабинеты. Во всех образовательных учреждениях имеется достаточная компьютерная база, используемая в </w:t>
      </w:r>
      <w:r w:rsidRPr="00A629DB">
        <w:rPr>
          <w:rFonts w:ascii="Times New Roman" w:hAnsi="Times New Roman"/>
          <w:sz w:val="28"/>
          <w:szCs w:val="28"/>
        </w:rPr>
        <w:lastRenderedPageBreak/>
        <w:t xml:space="preserve">учебных целях, если  на один компьютер в 2012 году  приходилось 12 обучающихся, то сегодня   эта цифра составляет 6 человек.  Оборудованы компьютерами все  школьные библиотеки; кабинеты начальной школы  на 100 % укомплектованы интерактивными досками; во всех  школах созданы и функционируют   официальные Web-сайты. </w:t>
      </w:r>
    </w:p>
    <w:p w:rsidR="0073399A" w:rsidRPr="00A629DB" w:rsidRDefault="0073399A" w:rsidP="0073399A">
      <w:pPr>
        <w:pStyle w:val="ConsPlusNormal"/>
        <w:ind w:firstLine="540"/>
        <w:jc w:val="both"/>
        <w:outlineLvl w:val="0"/>
        <w:rPr>
          <w:rFonts w:ascii="Times New Roman" w:hAnsi="Times New Roman" w:cs="Times New Roman"/>
          <w:sz w:val="28"/>
          <w:szCs w:val="28"/>
        </w:rPr>
      </w:pPr>
      <w:r w:rsidRPr="00A629DB">
        <w:rPr>
          <w:rFonts w:ascii="Times New Roman" w:hAnsi="Times New Roman" w:cs="Times New Roman"/>
          <w:spacing w:val="-1"/>
          <w:sz w:val="28"/>
          <w:szCs w:val="28"/>
        </w:rPr>
        <w:t xml:space="preserve"> </w:t>
      </w:r>
      <w:r w:rsidR="000D14F7" w:rsidRPr="00A629DB">
        <w:rPr>
          <w:rFonts w:ascii="Times New Roman" w:hAnsi="Times New Roman" w:cs="Times New Roman"/>
          <w:spacing w:val="-1"/>
          <w:sz w:val="28"/>
          <w:szCs w:val="28"/>
        </w:rPr>
        <w:t>Компьютерная оснащенность  дала</w:t>
      </w:r>
      <w:r w:rsidRPr="00A629DB">
        <w:rPr>
          <w:rFonts w:ascii="Times New Roman" w:hAnsi="Times New Roman" w:cs="Times New Roman"/>
          <w:spacing w:val="-1"/>
          <w:sz w:val="28"/>
          <w:szCs w:val="28"/>
        </w:rPr>
        <w:t xml:space="preserve"> возможность  более полно внедрять в учебный процесс компьютерные обучающие программы и электронные образовательные ресурсы, позволило педагогам   пройти дистанционное обучение в рамках повышения квалификации и  виртуально  участвовать в   различных  веб-уроках и веб-конференциях, предоставлять информацию о текущей успеваемости обучающихся в электронном виде, ведение электронного дневника и электронного журнала успеваемости.</w:t>
      </w:r>
    </w:p>
    <w:p w:rsidR="0073399A" w:rsidRPr="00A629DB" w:rsidRDefault="0073399A" w:rsidP="0073399A">
      <w:pPr>
        <w:spacing w:after="0" w:line="240" w:lineRule="auto"/>
        <w:jc w:val="both"/>
        <w:rPr>
          <w:rFonts w:ascii="Times New Roman" w:hAnsi="Times New Roman"/>
          <w:color w:val="00B050"/>
          <w:sz w:val="28"/>
          <w:szCs w:val="28"/>
        </w:rPr>
      </w:pPr>
      <w:r w:rsidRPr="00A629DB">
        <w:rPr>
          <w:rFonts w:ascii="Times New Roman" w:hAnsi="Times New Roman"/>
          <w:sz w:val="28"/>
          <w:szCs w:val="28"/>
        </w:rPr>
        <w:t xml:space="preserve">    В  государственной итоговой аттестации в 2015 году приняли участие 80 выпускников текущего года из 11-12 классов, из них  по обязательным предметам   с аттестацией не справились 13 выпускников, 46,1 %  из них  это выпускники  дневных школ.   Впервые выпускники  общеобразовательных учреждений сдавали профильный экзамен   по математике.  Выпускники  средних школ № 1, № 2 – набрали количество баллов     ниже среднего  областного.  </w:t>
      </w:r>
    </w:p>
    <w:p w:rsidR="0073399A" w:rsidRPr="00A629DB" w:rsidRDefault="0073399A" w:rsidP="0073399A">
      <w:pPr>
        <w:spacing w:after="0" w:line="240" w:lineRule="auto"/>
        <w:jc w:val="both"/>
        <w:rPr>
          <w:rFonts w:ascii="Times New Roman" w:hAnsi="Times New Roman"/>
          <w:sz w:val="28"/>
          <w:szCs w:val="28"/>
        </w:rPr>
      </w:pPr>
      <w:r w:rsidRPr="00A629DB">
        <w:rPr>
          <w:rFonts w:ascii="Times New Roman" w:hAnsi="Times New Roman"/>
          <w:sz w:val="28"/>
          <w:szCs w:val="28"/>
        </w:rPr>
        <w:t xml:space="preserve">       Анализ результатов единого государственного экзамена   по району  показал, что  резко снизились  средние баллы по сравнению с прошлым годом по  истории -  на  30,3;   информатике - на 15,1;    биологии - на 9,3;     географии - на 7,5</w:t>
      </w:r>
      <w:r w:rsidR="000D14F7" w:rsidRPr="00A629DB">
        <w:rPr>
          <w:rFonts w:ascii="Times New Roman" w:hAnsi="Times New Roman"/>
          <w:sz w:val="28"/>
          <w:szCs w:val="28"/>
        </w:rPr>
        <w:t>.</w:t>
      </w:r>
    </w:p>
    <w:p w:rsidR="0073399A" w:rsidRPr="00A629DB" w:rsidRDefault="0073399A" w:rsidP="0073399A">
      <w:pPr>
        <w:pStyle w:val="a9"/>
        <w:shd w:val="clear" w:color="auto" w:fill="FFFFFF"/>
        <w:spacing w:before="60" w:beforeAutospacing="0" w:after="0" w:afterAutospacing="0"/>
        <w:jc w:val="both"/>
        <w:rPr>
          <w:sz w:val="28"/>
          <w:szCs w:val="28"/>
        </w:rPr>
      </w:pPr>
      <w:r w:rsidRPr="00A629DB">
        <w:rPr>
          <w:sz w:val="28"/>
          <w:szCs w:val="28"/>
        </w:rPr>
        <w:t xml:space="preserve">        Свыше 60 баллов  по  11 предметам набрали 82 выпускника, что составляет -  32,4 %, свыше 65 баллов- 39 чел. (15,4 %). 100 баллов по    русскому языку набрала ученица  средней школы №1.   Высоких результатов  добились гимназисты   по  русскому языку,  математике,  информатике,  физике, истории, химии.   По итогам ЕГЭ   2015 года по   русскому языку, обществознанию, физике, химии   районный показатель выше средне-областного. </w:t>
      </w:r>
    </w:p>
    <w:p w:rsidR="0073399A" w:rsidRPr="00A629DB" w:rsidRDefault="0073399A" w:rsidP="0073399A">
      <w:pPr>
        <w:spacing w:after="0" w:line="240" w:lineRule="auto"/>
        <w:jc w:val="both"/>
        <w:rPr>
          <w:rFonts w:ascii="Times New Roman" w:hAnsi="Times New Roman"/>
          <w:sz w:val="28"/>
          <w:szCs w:val="28"/>
        </w:rPr>
      </w:pPr>
      <w:r w:rsidRPr="00A629DB">
        <w:rPr>
          <w:rFonts w:ascii="Times New Roman" w:hAnsi="Times New Roman"/>
          <w:sz w:val="28"/>
          <w:szCs w:val="28"/>
        </w:rPr>
        <w:t xml:space="preserve">      8  учащихся   получили медаль «За особые успехи в учении», четверо  выпускников отмечены  Почетным знаком Сахалинской области.</w:t>
      </w:r>
    </w:p>
    <w:p w:rsidR="0073399A" w:rsidRPr="00A629DB" w:rsidRDefault="0073399A" w:rsidP="0073399A">
      <w:pPr>
        <w:spacing w:after="0" w:line="240" w:lineRule="auto"/>
        <w:jc w:val="both"/>
        <w:rPr>
          <w:rFonts w:ascii="Times New Roman" w:hAnsi="Times New Roman"/>
          <w:sz w:val="28"/>
          <w:szCs w:val="28"/>
        </w:rPr>
      </w:pPr>
      <w:r w:rsidRPr="00A629DB">
        <w:rPr>
          <w:rFonts w:ascii="Times New Roman" w:hAnsi="Times New Roman"/>
          <w:sz w:val="28"/>
          <w:szCs w:val="28"/>
        </w:rPr>
        <w:t xml:space="preserve">        Администрация муниципального образования «Городской округ Ногликский»  осуществляет  меры поддержки  одаренных детей. На ежегодном  районном мероприятии  «Бал отличников» награждаются ребята за успехи в учебе,  и  вручается именная стипендия  мэра муниципального образования «Городской округ Ногликский».  Традиционно   по итогам учебного года  в День защиты детей  вручаются премии   обучающимся школ района за достижения в  учении, спорте, творческой деятельности. В  отчетном    году в  областном конкурсе проектно- исследовательской деятельности   трое гимназистов (9-11 класс) признаны призерами,   а  двое  стали призерами  на   </w:t>
      </w:r>
      <w:r w:rsidRPr="00A629DB">
        <w:rPr>
          <w:rFonts w:ascii="Times New Roman" w:hAnsi="Times New Roman"/>
          <w:sz w:val="28"/>
          <w:szCs w:val="28"/>
          <w:lang w:val="en-US"/>
        </w:rPr>
        <w:t>VIII</w:t>
      </w:r>
      <w:r w:rsidRPr="00A629DB">
        <w:rPr>
          <w:rFonts w:ascii="Times New Roman" w:hAnsi="Times New Roman"/>
          <w:sz w:val="28"/>
          <w:szCs w:val="28"/>
        </w:rPr>
        <w:t xml:space="preserve"> областной научно-исследовательской конференции школьников Сахалинской области. Пятерым  обучающимся  школ городского округа  вручена стипендия по поддержке талантливой молодежи. В составе  </w:t>
      </w:r>
      <w:r w:rsidRPr="00A629DB">
        <w:rPr>
          <w:rFonts w:ascii="Times New Roman" w:hAnsi="Times New Roman"/>
          <w:sz w:val="28"/>
          <w:szCs w:val="28"/>
        </w:rPr>
        <w:lastRenderedPageBreak/>
        <w:t xml:space="preserve">Сахалинской делегации   четверо волонтеров Гимназии, учащихся  областной школы «Лидер», приняли участие  в </w:t>
      </w:r>
      <w:r w:rsidRPr="00A629DB">
        <w:rPr>
          <w:rFonts w:ascii="Times New Roman" w:hAnsi="Times New Roman"/>
          <w:sz w:val="28"/>
          <w:szCs w:val="28"/>
          <w:lang w:val="en-US"/>
        </w:rPr>
        <w:t>V</w:t>
      </w:r>
      <w:r w:rsidRPr="00A629DB">
        <w:rPr>
          <w:rFonts w:ascii="Times New Roman" w:hAnsi="Times New Roman"/>
          <w:sz w:val="28"/>
          <w:szCs w:val="28"/>
        </w:rPr>
        <w:t xml:space="preserve"> конкурсе  «Молодые лидеры России», который проводился на базе  ВДЦ «Океан», в нём принимали участие  школьники - победители и призеры региональных конкурсов по лидерству среди участников детских (молодежных) общественных объединений.</w:t>
      </w:r>
      <w:r w:rsidRPr="00A629DB">
        <w:rPr>
          <w:sz w:val="28"/>
          <w:szCs w:val="28"/>
        </w:rPr>
        <w:t xml:space="preserve"> </w:t>
      </w:r>
      <w:r w:rsidRPr="00A629DB">
        <w:rPr>
          <w:rFonts w:ascii="Times New Roman" w:hAnsi="Times New Roman"/>
          <w:sz w:val="28"/>
          <w:szCs w:val="28"/>
        </w:rPr>
        <w:t xml:space="preserve">  В  областном конкурсе  научно - исследовательской  деятельности «Мир глазами детей»    для обучающихся 5-8 классов трое  учащихся стали призерами (МБОУ СОШ № 1, МБОУ Гимназия). Учащийся МБОУ СОШ с.Ныш стал победителем областного конкурса  «Мир народов  Севера» в рамках декады «Культура  коренных народов  малочисленных народов Севера». Из средств  местного бюджета на поддержку  способной и талантливой молодежи     выделено и освоено   более  400 тысяч  рублей.</w:t>
      </w:r>
    </w:p>
    <w:p w:rsidR="0073399A" w:rsidRPr="00A629DB" w:rsidRDefault="0073399A" w:rsidP="0073399A">
      <w:pPr>
        <w:autoSpaceDE w:val="0"/>
        <w:autoSpaceDN w:val="0"/>
        <w:adjustRightInd w:val="0"/>
        <w:spacing w:after="0" w:line="240" w:lineRule="auto"/>
        <w:jc w:val="both"/>
        <w:rPr>
          <w:rFonts w:ascii="Times New Roman" w:hAnsi="Times New Roman"/>
          <w:iCs/>
          <w:sz w:val="28"/>
          <w:szCs w:val="28"/>
        </w:rPr>
      </w:pPr>
      <w:r w:rsidRPr="00A629DB">
        <w:rPr>
          <w:rFonts w:ascii="Times New Roman" w:hAnsi="Times New Roman"/>
          <w:i/>
          <w:iCs/>
          <w:sz w:val="28"/>
          <w:szCs w:val="28"/>
        </w:rPr>
        <w:t xml:space="preserve">         </w:t>
      </w:r>
      <w:r w:rsidRPr="00A629DB">
        <w:rPr>
          <w:rFonts w:ascii="Times New Roman" w:hAnsi="Times New Roman"/>
          <w:iCs/>
          <w:sz w:val="28"/>
          <w:szCs w:val="28"/>
        </w:rPr>
        <w:t>На территории городского округа в  школах реализуются дополнительные об</w:t>
      </w:r>
      <w:r w:rsidR="000D14F7" w:rsidRPr="00A629DB">
        <w:rPr>
          <w:rFonts w:ascii="Times New Roman" w:hAnsi="Times New Roman"/>
          <w:iCs/>
          <w:sz w:val="28"/>
          <w:szCs w:val="28"/>
        </w:rPr>
        <w:t>щеобразовательные программы.</w:t>
      </w:r>
      <w:r w:rsidRPr="00A629DB">
        <w:rPr>
          <w:rFonts w:ascii="Times New Roman" w:hAnsi="Times New Roman"/>
          <w:iCs/>
          <w:sz w:val="28"/>
          <w:szCs w:val="28"/>
        </w:rPr>
        <w:t xml:space="preserve"> В школах работают  кружки, спортивные секции  и объединения (51 ед.),  в которых занимаются 44,4 % обучающихся. В Центре детского творчества  функционирует 20 кружков, которые посещали 659   обучающихся. Занятия в кружках и объединениях  доступны для всех желающих и велись на безвозмездной основе. </w:t>
      </w:r>
    </w:p>
    <w:p w:rsidR="0073399A" w:rsidRPr="00A629DB" w:rsidRDefault="0073399A" w:rsidP="0073399A">
      <w:pPr>
        <w:spacing w:after="0" w:line="240" w:lineRule="auto"/>
        <w:jc w:val="both"/>
        <w:rPr>
          <w:rFonts w:ascii="Times New Roman" w:hAnsi="Times New Roman"/>
          <w:sz w:val="28"/>
          <w:szCs w:val="28"/>
        </w:rPr>
      </w:pPr>
      <w:r w:rsidRPr="00A629DB">
        <w:rPr>
          <w:rFonts w:ascii="Times New Roman" w:hAnsi="Times New Roman"/>
          <w:sz w:val="28"/>
          <w:szCs w:val="28"/>
        </w:rPr>
        <w:t xml:space="preserve">          Всего в системе образования  работает 227 педагогических работников, из них учителей-118 человек, воспитателей - 53.  47,1 %  педагогов  имеют высшую и первую категории.  С целью  привлечения  учителей в 2015 году приобретена   трехкомнатная квартира  в с. Вал.</w:t>
      </w:r>
    </w:p>
    <w:p w:rsidR="0073399A" w:rsidRDefault="0073399A" w:rsidP="0073399A">
      <w:pPr>
        <w:spacing w:after="0" w:line="240" w:lineRule="auto"/>
        <w:ind w:firstLine="706"/>
        <w:jc w:val="both"/>
        <w:rPr>
          <w:rFonts w:ascii="Times New Roman" w:hAnsi="Times New Roman"/>
          <w:color w:val="FF0000"/>
          <w:sz w:val="28"/>
          <w:szCs w:val="28"/>
        </w:rPr>
      </w:pPr>
    </w:p>
    <w:p w:rsidR="00A629DB" w:rsidRPr="00A629DB" w:rsidRDefault="00A629DB" w:rsidP="0073399A">
      <w:pPr>
        <w:spacing w:after="0" w:line="240" w:lineRule="auto"/>
        <w:ind w:firstLine="706"/>
        <w:jc w:val="both"/>
        <w:rPr>
          <w:rFonts w:ascii="Times New Roman" w:hAnsi="Times New Roman"/>
          <w:b/>
          <w:i/>
          <w:sz w:val="28"/>
          <w:szCs w:val="28"/>
        </w:rPr>
      </w:pPr>
      <w:r w:rsidRPr="00A629DB">
        <w:rPr>
          <w:rFonts w:ascii="Times New Roman" w:hAnsi="Times New Roman"/>
          <w:b/>
          <w:i/>
          <w:sz w:val="28"/>
          <w:szCs w:val="28"/>
        </w:rPr>
        <w:t>Культура</w:t>
      </w:r>
    </w:p>
    <w:p w:rsidR="00A629DB" w:rsidRPr="00A629DB" w:rsidRDefault="00A629DB" w:rsidP="00A629DB">
      <w:pPr>
        <w:tabs>
          <w:tab w:val="left" w:pos="2160"/>
        </w:tabs>
        <w:spacing w:after="0"/>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      Деятельность </w:t>
      </w:r>
      <w:r>
        <w:rPr>
          <w:rFonts w:ascii="Times New Roman" w:hAnsi="Times New Roman" w:cs="Times New Roman"/>
          <w:sz w:val="28"/>
          <w:szCs w:val="28"/>
        </w:rPr>
        <w:t>учреждений</w:t>
      </w:r>
      <w:r w:rsidRPr="00A629DB">
        <w:rPr>
          <w:rFonts w:ascii="Times New Roman" w:eastAsia="Calibri" w:hAnsi="Times New Roman" w:cs="Times New Roman"/>
          <w:sz w:val="28"/>
          <w:szCs w:val="28"/>
        </w:rPr>
        <w:t xml:space="preserve"> культуры в 2015 году была направлена на обеспечения культурно пространства и доступности культурных ценностей всем слоям населения,  на создание условий для повышения качества, разнообразия и доступности услуг населению.</w:t>
      </w:r>
      <w:r w:rsidRPr="00A629DB">
        <w:rPr>
          <w:rFonts w:ascii="Times New Roman" w:eastAsia="Calibri" w:hAnsi="Times New Roman" w:cs="Times New Roman"/>
          <w:color w:val="052635"/>
          <w:sz w:val="28"/>
          <w:szCs w:val="28"/>
        </w:rPr>
        <w:t xml:space="preserve"> Основным ресурсом создания условий для совершенствования качества услуг в сфере культуры и гарантией их предоставления населению является деятельность 12 му</w:t>
      </w:r>
      <w:r>
        <w:rPr>
          <w:rFonts w:ascii="Times New Roman" w:hAnsi="Times New Roman" w:cs="Times New Roman"/>
          <w:color w:val="052635"/>
          <w:sz w:val="28"/>
          <w:szCs w:val="28"/>
        </w:rPr>
        <w:t>ниципальных учреждений культуры</w:t>
      </w:r>
      <w:r w:rsidRPr="00A629DB">
        <w:rPr>
          <w:rFonts w:ascii="Times New Roman" w:eastAsia="Calibri" w:hAnsi="Times New Roman" w:cs="Times New Roman"/>
          <w:color w:val="052635"/>
          <w:sz w:val="28"/>
          <w:szCs w:val="28"/>
        </w:rPr>
        <w:t>:</w:t>
      </w:r>
      <w:r>
        <w:rPr>
          <w:rFonts w:ascii="Times New Roman" w:hAnsi="Times New Roman" w:cs="Times New Roman"/>
          <w:sz w:val="28"/>
          <w:szCs w:val="28"/>
        </w:rPr>
        <w:t xml:space="preserve"> МУК «</w:t>
      </w:r>
      <w:r w:rsidRPr="00A629DB">
        <w:rPr>
          <w:rFonts w:ascii="Times New Roman" w:eastAsia="Calibri" w:hAnsi="Times New Roman" w:cs="Times New Roman"/>
          <w:sz w:val="28"/>
          <w:szCs w:val="28"/>
        </w:rPr>
        <w:t>Ногликская Райо</w:t>
      </w:r>
      <w:r>
        <w:rPr>
          <w:rFonts w:ascii="Times New Roman" w:hAnsi="Times New Roman" w:cs="Times New Roman"/>
          <w:sz w:val="28"/>
          <w:szCs w:val="28"/>
        </w:rPr>
        <w:t>нная центральная библиотека», «</w:t>
      </w:r>
      <w:r w:rsidRPr="00A629DB">
        <w:rPr>
          <w:rFonts w:ascii="Times New Roman" w:eastAsia="Calibri" w:hAnsi="Times New Roman" w:cs="Times New Roman"/>
          <w:sz w:val="28"/>
          <w:szCs w:val="28"/>
        </w:rPr>
        <w:t>Центральная детская библиотека», 5 библиотек- филиалов, МУК  «Районный ц</w:t>
      </w:r>
      <w:r>
        <w:rPr>
          <w:rFonts w:ascii="Times New Roman" w:hAnsi="Times New Roman" w:cs="Times New Roman"/>
          <w:sz w:val="28"/>
          <w:szCs w:val="28"/>
        </w:rPr>
        <w:t xml:space="preserve">ентр досуга», МУК «СДК с.Ныш», </w:t>
      </w:r>
      <w:r w:rsidRPr="00A629DB">
        <w:rPr>
          <w:rFonts w:ascii="Times New Roman" w:eastAsia="Calibri" w:hAnsi="Times New Roman" w:cs="Times New Roman"/>
          <w:sz w:val="28"/>
          <w:szCs w:val="28"/>
        </w:rPr>
        <w:t xml:space="preserve"> МУК «СДК с.Вал», МУК «Ногликский муниципальный краеведческий  музей», МОУДОД «Детская школа искусств».</w:t>
      </w:r>
      <w:r>
        <w:rPr>
          <w:rFonts w:ascii="Times New Roman" w:hAnsi="Times New Roman" w:cs="Times New Roman"/>
          <w:sz w:val="28"/>
          <w:szCs w:val="28"/>
        </w:rPr>
        <w:t xml:space="preserve"> </w:t>
      </w:r>
      <w:r w:rsidRPr="00A629DB">
        <w:rPr>
          <w:rFonts w:ascii="Times New Roman" w:eastAsia="Calibri" w:hAnsi="Times New Roman" w:cs="Times New Roman"/>
          <w:sz w:val="28"/>
          <w:szCs w:val="28"/>
        </w:rPr>
        <w:t>В 2015 году  реформирования и оптимизации сети учреждений не было.</w:t>
      </w:r>
    </w:p>
    <w:p w:rsidR="00A629DB" w:rsidRPr="00A629DB" w:rsidRDefault="00A629DB" w:rsidP="00A629DB">
      <w:pPr>
        <w:tabs>
          <w:tab w:val="left" w:pos="2160"/>
        </w:tabs>
        <w:spacing w:after="0"/>
        <w:jc w:val="both"/>
        <w:rPr>
          <w:rFonts w:ascii="Times New Roman" w:eastAsia="Calibri" w:hAnsi="Times New Roman" w:cs="Times New Roman"/>
          <w:sz w:val="28"/>
          <w:szCs w:val="28"/>
        </w:rPr>
      </w:pPr>
      <w:r>
        <w:rPr>
          <w:rFonts w:ascii="Times New Roman" w:hAnsi="Times New Roman" w:cs="Times New Roman"/>
          <w:color w:val="000000"/>
          <w:sz w:val="28"/>
          <w:szCs w:val="28"/>
        </w:rPr>
        <w:t xml:space="preserve">       </w:t>
      </w:r>
      <w:r w:rsidRPr="00A629DB">
        <w:rPr>
          <w:rFonts w:ascii="Times New Roman" w:eastAsia="Calibri" w:hAnsi="Times New Roman" w:cs="Times New Roman"/>
          <w:color w:val="000000"/>
          <w:sz w:val="28"/>
          <w:szCs w:val="28"/>
        </w:rPr>
        <w:t>Главным направлением  в работе учреждений культуры в 2015 году были:  подготовка и празднование 70-летия Великой Победы и 85-летия со дня образования муниципального образования.</w:t>
      </w:r>
      <w:r w:rsidRPr="00A629DB">
        <w:rPr>
          <w:rFonts w:ascii="Times New Roman" w:eastAsia="Calibri" w:hAnsi="Times New Roman" w:cs="Times New Roman"/>
          <w:sz w:val="28"/>
          <w:szCs w:val="28"/>
        </w:rPr>
        <w:t xml:space="preserve"> </w:t>
      </w:r>
    </w:p>
    <w:p w:rsidR="00A629DB" w:rsidRPr="00A629DB" w:rsidRDefault="00A629DB" w:rsidP="00A629DB">
      <w:pPr>
        <w:spacing w:after="0"/>
        <w:jc w:val="both"/>
        <w:rPr>
          <w:rFonts w:ascii="Times New Roman" w:eastAsia="Calibri" w:hAnsi="Times New Roman" w:cs="Times New Roman"/>
          <w:sz w:val="28"/>
          <w:szCs w:val="28"/>
        </w:rPr>
      </w:pPr>
      <w:r>
        <w:rPr>
          <w:rFonts w:ascii="Times New Roman" w:hAnsi="Times New Roman" w:cs="Times New Roman"/>
          <w:sz w:val="28"/>
          <w:szCs w:val="28"/>
        </w:rPr>
        <w:t xml:space="preserve">     </w:t>
      </w:r>
      <w:r w:rsidRPr="00A629DB">
        <w:rPr>
          <w:rFonts w:ascii="Times New Roman" w:eastAsia="Calibri" w:hAnsi="Times New Roman" w:cs="Times New Roman"/>
          <w:sz w:val="28"/>
          <w:szCs w:val="28"/>
        </w:rPr>
        <w:t xml:space="preserve">  Предоставление муниципальной услуги - «Организация </w:t>
      </w:r>
      <w:r w:rsidRPr="003702AE">
        <w:rPr>
          <w:rFonts w:ascii="Times New Roman" w:eastAsia="Calibri" w:hAnsi="Times New Roman" w:cs="Times New Roman"/>
          <w:i/>
          <w:sz w:val="28"/>
          <w:szCs w:val="28"/>
        </w:rPr>
        <w:t>библиотечного обслуживания населения</w:t>
      </w:r>
      <w:r w:rsidRPr="00A629DB">
        <w:rPr>
          <w:rFonts w:ascii="Times New Roman" w:eastAsia="Calibri" w:hAnsi="Times New Roman" w:cs="Times New Roman"/>
          <w:sz w:val="28"/>
          <w:szCs w:val="28"/>
        </w:rPr>
        <w:t xml:space="preserve">, комплектование и обеспечение сохранности </w:t>
      </w:r>
      <w:r w:rsidRPr="00A629DB">
        <w:rPr>
          <w:rFonts w:ascii="Times New Roman" w:eastAsia="Calibri" w:hAnsi="Times New Roman" w:cs="Times New Roman"/>
          <w:sz w:val="28"/>
          <w:szCs w:val="28"/>
        </w:rPr>
        <w:lastRenderedPageBreak/>
        <w:t xml:space="preserve">библиотечных фондов библиотек муниципального образования «Городской округ </w:t>
      </w:r>
      <w:r>
        <w:rPr>
          <w:rFonts w:ascii="Times New Roman" w:hAnsi="Times New Roman" w:cs="Times New Roman"/>
          <w:sz w:val="28"/>
          <w:szCs w:val="28"/>
        </w:rPr>
        <w:t>Ногликский»» осуществляет МБУК</w:t>
      </w:r>
      <w:r w:rsidRPr="00A629DB">
        <w:rPr>
          <w:rFonts w:ascii="Times New Roman" w:eastAsia="Calibri" w:hAnsi="Times New Roman" w:cs="Times New Roman"/>
          <w:sz w:val="28"/>
          <w:szCs w:val="28"/>
        </w:rPr>
        <w:t xml:space="preserve"> Ногликская районная центральная библиотека и 6 библиотек-филиалов. 2015 год был объявлен президентом Годом литературы и прошел поз знаком: 70-летие Победы в Великой отечественной и второй мировой войне, 85-летие  со дня образования округа, 80-летие нивхского писателя В.М. Санги. Книжный фонд РЦБ на 01.01.2015 года составил 115 500 экз. Общий объем поступлений периодических изданий и книг составил   7 517 экз.</w:t>
      </w:r>
      <w:r w:rsidRPr="00A629DB">
        <w:rPr>
          <w:rFonts w:ascii="Times New Roman" w:eastAsia="Calibri" w:hAnsi="Times New Roman" w:cs="Times New Roman"/>
          <w:b/>
          <w:sz w:val="28"/>
          <w:szCs w:val="28"/>
        </w:rPr>
        <w:t xml:space="preserve"> </w:t>
      </w:r>
      <w:r w:rsidRPr="00A629DB">
        <w:rPr>
          <w:rFonts w:ascii="Times New Roman" w:eastAsia="Calibri" w:hAnsi="Times New Roman" w:cs="Times New Roman"/>
          <w:sz w:val="28"/>
          <w:szCs w:val="28"/>
        </w:rPr>
        <w:t>Процент поступления новой литературы к общему фонду составил  6,5% (2014</w:t>
      </w:r>
      <w:r>
        <w:rPr>
          <w:rFonts w:ascii="Times New Roman" w:hAnsi="Times New Roman" w:cs="Times New Roman"/>
          <w:sz w:val="28"/>
          <w:szCs w:val="28"/>
        </w:rPr>
        <w:t xml:space="preserve"> </w:t>
      </w:r>
      <w:r w:rsidRPr="00A629DB">
        <w:rPr>
          <w:rFonts w:ascii="Times New Roman" w:eastAsia="Calibri" w:hAnsi="Times New Roman" w:cs="Times New Roman"/>
          <w:sz w:val="28"/>
          <w:szCs w:val="28"/>
        </w:rPr>
        <w:t>-</w:t>
      </w:r>
      <w:r>
        <w:rPr>
          <w:rFonts w:ascii="Times New Roman" w:hAnsi="Times New Roman" w:cs="Times New Roman"/>
          <w:sz w:val="28"/>
          <w:szCs w:val="28"/>
        </w:rPr>
        <w:t xml:space="preserve"> </w:t>
      </w:r>
      <w:r w:rsidRPr="00A629DB">
        <w:rPr>
          <w:rFonts w:ascii="Times New Roman" w:eastAsia="Calibri" w:hAnsi="Times New Roman" w:cs="Times New Roman"/>
          <w:sz w:val="28"/>
          <w:szCs w:val="28"/>
        </w:rPr>
        <w:t>6,4 %),   процент охвата населения- 76,6 % (2014</w:t>
      </w:r>
      <w:r w:rsidR="003702AE">
        <w:rPr>
          <w:rFonts w:ascii="Times New Roman" w:hAnsi="Times New Roman" w:cs="Times New Roman"/>
          <w:sz w:val="28"/>
          <w:szCs w:val="28"/>
        </w:rPr>
        <w:t xml:space="preserve"> </w:t>
      </w:r>
      <w:r w:rsidRPr="00A629DB">
        <w:rPr>
          <w:rFonts w:ascii="Times New Roman" w:eastAsia="Calibri" w:hAnsi="Times New Roman" w:cs="Times New Roman"/>
          <w:sz w:val="28"/>
          <w:szCs w:val="28"/>
        </w:rPr>
        <w:t>-</w:t>
      </w:r>
      <w:r w:rsidR="003702AE">
        <w:rPr>
          <w:rFonts w:ascii="Times New Roman" w:hAnsi="Times New Roman" w:cs="Times New Roman"/>
          <w:sz w:val="28"/>
          <w:szCs w:val="28"/>
        </w:rPr>
        <w:t xml:space="preserve"> </w:t>
      </w:r>
      <w:r w:rsidRPr="00A629DB">
        <w:rPr>
          <w:rFonts w:ascii="Times New Roman" w:eastAsia="Calibri" w:hAnsi="Times New Roman" w:cs="Times New Roman"/>
          <w:sz w:val="28"/>
          <w:szCs w:val="28"/>
        </w:rPr>
        <w:t>73,9 %). Выбытие литературы составило 6 718 экз.(5,8 %) (2014</w:t>
      </w:r>
      <w:r w:rsidR="003702AE">
        <w:rPr>
          <w:rFonts w:ascii="Times New Roman" w:hAnsi="Times New Roman" w:cs="Times New Roman"/>
          <w:sz w:val="28"/>
          <w:szCs w:val="28"/>
        </w:rPr>
        <w:t xml:space="preserve"> </w:t>
      </w:r>
      <w:r w:rsidRPr="00A629DB">
        <w:rPr>
          <w:rFonts w:ascii="Times New Roman" w:eastAsia="Calibri" w:hAnsi="Times New Roman" w:cs="Times New Roman"/>
          <w:sz w:val="28"/>
          <w:szCs w:val="28"/>
        </w:rPr>
        <w:t xml:space="preserve">-  </w:t>
      </w:r>
      <w:r w:rsidR="003702AE">
        <w:rPr>
          <w:rFonts w:ascii="Times New Roman" w:hAnsi="Times New Roman" w:cs="Times New Roman"/>
          <w:sz w:val="28"/>
          <w:szCs w:val="28"/>
        </w:rPr>
        <w:t xml:space="preserve">7,6 % </w:t>
      </w:r>
      <w:r w:rsidRPr="00A629DB">
        <w:rPr>
          <w:rFonts w:ascii="Times New Roman" w:eastAsia="Calibri" w:hAnsi="Times New Roman" w:cs="Times New Roman"/>
          <w:sz w:val="28"/>
          <w:szCs w:val="28"/>
        </w:rPr>
        <w:t>). Комплектование производилось за счет грантовых проектов, бюджетных средств. Расходы на комплектование составили  1</w:t>
      </w:r>
      <w:r w:rsidR="003702AE">
        <w:rPr>
          <w:rFonts w:ascii="Times New Roman" w:hAnsi="Times New Roman" w:cs="Times New Roman"/>
          <w:sz w:val="28"/>
          <w:szCs w:val="28"/>
        </w:rPr>
        <w:t>,8</w:t>
      </w:r>
      <w:r w:rsidRPr="00A629DB">
        <w:rPr>
          <w:rFonts w:ascii="Times New Roman" w:eastAsia="Calibri" w:hAnsi="Times New Roman" w:cs="Times New Roman"/>
          <w:sz w:val="28"/>
          <w:szCs w:val="28"/>
        </w:rPr>
        <w:t> </w:t>
      </w:r>
      <w:r w:rsidR="003702AE">
        <w:rPr>
          <w:rFonts w:ascii="Times New Roman" w:hAnsi="Times New Roman" w:cs="Times New Roman"/>
          <w:sz w:val="28"/>
          <w:szCs w:val="28"/>
        </w:rPr>
        <w:t>млн</w:t>
      </w:r>
      <w:r w:rsidRPr="00A629DB">
        <w:rPr>
          <w:rFonts w:ascii="Times New Roman" w:eastAsia="Calibri" w:hAnsi="Times New Roman" w:cs="Times New Roman"/>
          <w:sz w:val="28"/>
          <w:szCs w:val="28"/>
        </w:rPr>
        <w:t>. рублей (2014</w:t>
      </w:r>
      <w:r w:rsidR="003702AE">
        <w:rPr>
          <w:rFonts w:ascii="Times New Roman" w:hAnsi="Times New Roman" w:cs="Times New Roman"/>
          <w:sz w:val="28"/>
          <w:szCs w:val="28"/>
        </w:rPr>
        <w:t xml:space="preserve"> – </w:t>
      </w:r>
      <w:r w:rsidRPr="00A629DB">
        <w:rPr>
          <w:rFonts w:ascii="Times New Roman" w:eastAsia="Calibri" w:hAnsi="Times New Roman" w:cs="Times New Roman"/>
          <w:sz w:val="28"/>
          <w:szCs w:val="28"/>
        </w:rPr>
        <w:t>1</w:t>
      </w:r>
      <w:r w:rsidR="003702AE">
        <w:rPr>
          <w:rFonts w:ascii="Times New Roman" w:hAnsi="Times New Roman" w:cs="Times New Roman"/>
          <w:sz w:val="28"/>
          <w:szCs w:val="28"/>
        </w:rPr>
        <w:t>,5 млн</w:t>
      </w:r>
      <w:r w:rsidRPr="00A629DB">
        <w:rPr>
          <w:rFonts w:ascii="Times New Roman" w:eastAsia="Calibri" w:hAnsi="Times New Roman" w:cs="Times New Roman"/>
          <w:sz w:val="28"/>
          <w:szCs w:val="28"/>
        </w:rPr>
        <w:t>.  руб.)</w:t>
      </w:r>
      <w:r w:rsidR="003702AE">
        <w:rPr>
          <w:rFonts w:ascii="Times New Roman" w:hAnsi="Times New Roman" w:cs="Times New Roman"/>
          <w:sz w:val="28"/>
          <w:szCs w:val="28"/>
        </w:rPr>
        <w:t>.</w:t>
      </w:r>
      <w:r w:rsidRPr="00A629DB">
        <w:rPr>
          <w:rFonts w:ascii="Times New Roman" w:eastAsia="Calibri" w:hAnsi="Times New Roman" w:cs="Times New Roman"/>
          <w:sz w:val="28"/>
          <w:szCs w:val="28"/>
        </w:rPr>
        <w:t xml:space="preserve"> Полная информация о составе библиотечного фонда предоставляется через систему каталогов и своевременную обработку произведений печати. Пользователи в течение всего года были проинформированы о новых поступлениях в фонды библиотеки, а также активно пропагандировалась литература по актуальным темам 2015 года. «</w:t>
      </w:r>
      <w:r w:rsidRPr="00A629DB">
        <w:rPr>
          <w:rFonts w:ascii="Times New Roman" w:eastAsia="Calibri" w:hAnsi="Times New Roman" w:cs="Times New Roman"/>
          <w:bCs/>
          <w:sz w:val="28"/>
          <w:szCs w:val="28"/>
        </w:rPr>
        <w:t>Бюллетени новых поступлений»</w:t>
      </w:r>
      <w:r w:rsidRPr="00A629DB">
        <w:rPr>
          <w:rFonts w:ascii="Times New Roman" w:eastAsia="Calibri" w:hAnsi="Times New Roman" w:cs="Times New Roman"/>
          <w:sz w:val="28"/>
          <w:szCs w:val="28"/>
        </w:rPr>
        <w:t xml:space="preserve"> в фонд библиотеки формируются не реже 1 раза в квартал и публикуются на веб-сайте библиотеки в разделе </w:t>
      </w:r>
      <w:r w:rsidRPr="00A629DB">
        <w:rPr>
          <w:rFonts w:ascii="Times New Roman" w:eastAsia="Calibri" w:hAnsi="Times New Roman" w:cs="Times New Roman"/>
          <w:b/>
          <w:bCs/>
          <w:sz w:val="28"/>
          <w:szCs w:val="28"/>
        </w:rPr>
        <w:t>«</w:t>
      </w:r>
      <w:r w:rsidRPr="00A629DB">
        <w:rPr>
          <w:rFonts w:ascii="Times New Roman" w:eastAsia="Calibri" w:hAnsi="Times New Roman" w:cs="Times New Roman"/>
          <w:sz w:val="28"/>
          <w:szCs w:val="28"/>
        </w:rPr>
        <w:t>Новые книжные поступления</w:t>
      </w:r>
      <w:r w:rsidRPr="00A629DB">
        <w:rPr>
          <w:rFonts w:ascii="Times New Roman" w:eastAsia="Calibri" w:hAnsi="Times New Roman" w:cs="Times New Roman"/>
          <w:b/>
          <w:bCs/>
          <w:sz w:val="28"/>
          <w:szCs w:val="28"/>
        </w:rPr>
        <w:t>».</w:t>
      </w:r>
      <w:r w:rsidRPr="00A629DB">
        <w:rPr>
          <w:rFonts w:ascii="Times New Roman" w:eastAsia="Calibri" w:hAnsi="Times New Roman" w:cs="Times New Roman"/>
          <w:sz w:val="28"/>
          <w:szCs w:val="28"/>
        </w:rPr>
        <w:t xml:space="preserve"> </w:t>
      </w:r>
    </w:p>
    <w:p w:rsidR="00A629DB" w:rsidRPr="00A629DB" w:rsidRDefault="00A629DB" w:rsidP="00A629DB">
      <w:pPr>
        <w:spacing w:after="0"/>
        <w:ind w:firstLine="709"/>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 В рамках Года Литературы отделом краеведения Сахалинской областной универсальной научной библиотеки и Ногликской районной центральной библиотекой на базе Районной центральной библиотеки 1-2 апреля состоялся областной форум «Наследие нивхов». Форум стал площадкой для обсуждения проблем сохранения, развития и популяризации нивхского языка и культуры. В рамках Форума прошли: научно-практическая конференция «Сохраняя традиции: работа музеев и библиотек для продвижения культуры коренных малочисленных народов севера (КМНС)», круглый стол «От первого лица: проблемы и перспективы работы с КМНС на современном этапе», «Обзор коллекций нивхского писателя В.М. Санги в собрании Сахалинского областного краеведческого музея.</w:t>
      </w:r>
    </w:p>
    <w:p w:rsidR="00A629DB" w:rsidRPr="00A629DB" w:rsidRDefault="00A629DB" w:rsidP="00A629DB">
      <w:pPr>
        <w:spacing w:after="0"/>
        <w:ind w:firstLine="709"/>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В связи с Годом литературы и 80-летием нивхского писателя, этнографа, лауреата Государственной премии Российской Федерации В.М. Санги Ногликской районной  модельной центральной библиотеке было присвоено имя Владимира Михайловича Санги.</w:t>
      </w:r>
    </w:p>
    <w:p w:rsidR="00A629DB" w:rsidRPr="00A629DB" w:rsidRDefault="00A629DB" w:rsidP="003702AE">
      <w:pPr>
        <w:spacing w:after="0"/>
        <w:ind w:firstLine="708"/>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   Сотрудники Центральной библиотеки принимали участие в V Всероссийском Форуме публичных библиотек «Общедоступные библиотеки. Вызовы времени»,  г. Санкт-  Петербург;  во Всероссийской научно – практической конференции «Библиотечные фонды: Проблемы и решения», г. </w:t>
      </w:r>
      <w:r w:rsidRPr="00A629DB">
        <w:rPr>
          <w:rFonts w:ascii="Times New Roman" w:eastAsia="Calibri" w:hAnsi="Times New Roman" w:cs="Times New Roman"/>
          <w:sz w:val="28"/>
          <w:szCs w:val="28"/>
        </w:rPr>
        <w:lastRenderedPageBreak/>
        <w:t>Рязань;  во Всероссийском библиотечном конг</w:t>
      </w:r>
      <w:r w:rsidR="003702AE">
        <w:rPr>
          <w:rFonts w:ascii="Times New Roman" w:hAnsi="Times New Roman" w:cs="Times New Roman"/>
          <w:sz w:val="28"/>
          <w:szCs w:val="28"/>
        </w:rPr>
        <w:t>рессе «</w:t>
      </w:r>
      <w:r w:rsidRPr="00A629DB">
        <w:rPr>
          <w:rFonts w:ascii="Times New Roman" w:eastAsia="Calibri" w:hAnsi="Times New Roman" w:cs="Times New Roman"/>
          <w:sz w:val="28"/>
          <w:szCs w:val="28"/>
        </w:rPr>
        <w:t>XX Ежегодная Конференция Российской библиотечной ассоциации», г. Самара; в XIV международной научно-практической  конференции и выставке «Корпоративные библиотечные системы: технологии и инновации», г. Санкт-Петербурге.</w:t>
      </w:r>
    </w:p>
    <w:p w:rsidR="003702AE" w:rsidRDefault="00A629DB" w:rsidP="00A629DB">
      <w:pPr>
        <w:spacing w:after="0"/>
        <w:jc w:val="both"/>
        <w:rPr>
          <w:rFonts w:ascii="Times New Roman" w:hAnsi="Times New Roman" w:cs="Times New Roman"/>
          <w:sz w:val="28"/>
          <w:szCs w:val="28"/>
        </w:rPr>
      </w:pPr>
      <w:r w:rsidRPr="00A629DB">
        <w:rPr>
          <w:rFonts w:ascii="Times New Roman" w:eastAsia="Calibri" w:hAnsi="Times New Roman" w:cs="Times New Roman"/>
          <w:sz w:val="28"/>
          <w:szCs w:val="28"/>
        </w:rPr>
        <w:t xml:space="preserve">        Фонды </w:t>
      </w:r>
      <w:r w:rsidRPr="003702AE">
        <w:rPr>
          <w:rFonts w:ascii="Times New Roman" w:eastAsia="Calibri" w:hAnsi="Times New Roman" w:cs="Times New Roman"/>
          <w:i/>
          <w:sz w:val="28"/>
          <w:szCs w:val="28"/>
        </w:rPr>
        <w:t xml:space="preserve">музея </w:t>
      </w:r>
      <w:r w:rsidRPr="00A629DB">
        <w:rPr>
          <w:rFonts w:ascii="Times New Roman" w:eastAsia="Calibri" w:hAnsi="Times New Roman" w:cs="Times New Roman"/>
          <w:sz w:val="28"/>
          <w:szCs w:val="28"/>
        </w:rPr>
        <w:t xml:space="preserve"> составляют 9491 единиц ( 2014-9294 единиц), в т.ч.: основной фонд- 7860 ед. ( 2014- 7726 ед.хр.), научно-вспомогательный  - 1631 ед.хр. ( 2014 -1568 ед.хранения).   В 2015г в основной фонд поступило 135 ед. (2014 -   140 ед.). </w:t>
      </w:r>
    </w:p>
    <w:p w:rsidR="00A629DB" w:rsidRPr="00A629DB" w:rsidRDefault="00A629DB" w:rsidP="003702AE">
      <w:pPr>
        <w:spacing w:after="0"/>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На базе музея постоянно работают  клуб: «Нивхинка» </w:t>
      </w:r>
      <w:r w:rsidR="003702AE">
        <w:rPr>
          <w:rFonts w:ascii="Times New Roman" w:hAnsi="Times New Roman" w:cs="Times New Roman"/>
          <w:sz w:val="28"/>
          <w:szCs w:val="28"/>
        </w:rPr>
        <w:t xml:space="preserve">(руководитель Кавозг А.В.). </w:t>
      </w:r>
      <w:r w:rsidRPr="00A629DB">
        <w:rPr>
          <w:rFonts w:ascii="Times New Roman" w:eastAsia="Calibri" w:hAnsi="Times New Roman" w:cs="Times New Roman"/>
          <w:sz w:val="28"/>
          <w:szCs w:val="28"/>
        </w:rPr>
        <w:t>В 2015 году клуб «Нивхинка» принял участие в Х Международной выставке-фестивале «Сокровища Севера 2015»(г.Москва) где представил фольклорную программу и получил Специальный приз. Участникам клуба  за счет муниципальных средств были приобретены национальные халаты, головные уборы, обувь - нивхские тапки,  национальные музыкальные инструменты.</w:t>
      </w:r>
    </w:p>
    <w:p w:rsidR="00A629DB" w:rsidRPr="00A629DB" w:rsidRDefault="00A629DB" w:rsidP="003702AE">
      <w:pPr>
        <w:spacing w:after="0"/>
        <w:ind w:firstLine="708"/>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В юбилейный день рождения В.М.Санги в музее прошел «Литературный марафон». Участницы клуба «Нивхинка» показали театрализованное представление «Сказка о рыбаке и рыбке» А.Пушкина в переводе В.М. Санги, школьники читатели стихи  писателя, закончилось мероприятие  концертными номерами в исполнении национального ансамбля «Ари-ла-миф».</w:t>
      </w:r>
    </w:p>
    <w:p w:rsidR="00A629DB" w:rsidRPr="00A629DB" w:rsidRDefault="00A629DB" w:rsidP="003702AE">
      <w:pPr>
        <w:spacing w:after="0"/>
        <w:ind w:firstLine="708"/>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4 июня в пгт Ноглики состоялся нивхский обрядовый праздник «Питул» (обновление природы, летний новый год). Была подготовлена выставка ДПИ, национальная кухня. В празднике принимали участие делегации из муниципальных образований области. </w:t>
      </w:r>
    </w:p>
    <w:p w:rsidR="00A629DB" w:rsidRPr="00A629DB" w:rsidRDefault="00A629DB" w:rsidP="00A629DB">
      <w:pPr>
        <w:spacing w:after="0"/>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   </w:t>
      </w:r>
      <w:r w:rsidR="003702AE">
        <w:rPr>
          <w:rFonts w:ascii="Times New Roman" w:hAnsi="Times New Roman" w:cs="Times New Roman"/>
          <w:sz w:val="28"/>
          <w:szCs w:val="28"/>
        </w:rPr>
        <w:t xml:space="preserve">  </w:t>
      </w:r>
      <w:r w:rsidRPr="00A629DB">
        <w:rPr>
          <w:rFonts w:ascii="Times New Roman" w:eastAsia="Calibri" w:hAnsi="Times New Roman" w:cs="Times New Roman"/>
          <w:sz w:val="28"/>
          <w:szCs w:val="28"/>
        </w:rPr>
        <w:t xml:space="preserve">В  </w:t>
      </w:r>
      <w:r w:rsidRPr="003702AE">
        <w:rPr>
          <w:rFonts w:ascii="Times New Roman" w:eastAsia="Calibri" w:hAnsi="Times New Roman" w:cs="Times New Roman"/>
          <w:i/>
          <w:sz w:val="28"/>
          <w:szCs w:val="28"/>
        </w:rPr>
        <w:t>Детской школе искусств</w:t>
      </w:r>
      <w:r w:rsidRPr="00A629DB">
        <w:rPr>
          <w:rFonts w:ascii="Times New Roman" w:eastAsia="Calibri" w:hAnsi="Times New Roman" w:cs="Times New Roman"/>
          <w:sz w:val="28"/>
          <w:szCs w:val="28"/>
        </w:rPr>
        <w:t xml:space="preserve">  обучается 160 ученика. Педагогическую деятельность осуществляют 9 преподавателей. В 2015 году  школу окончили 11 учащихся (5- музыкальное отделение, 6-ИЗО).  Учащиеся  школы  принимали активное участие в международных, региональных, областных выставках,  конкурсах, фестивалях (10 мероприятий, 75 учащихся) где занимали призовые места.  С  2013 года в  школе реализуются две дополнительные предпрофессиональные общеобразовательные программы: программа в области декоративно-прикладного искусства «Декоративно-прикладное творчество» и программа в области музыкального искусства «Хоровое пение». По программам обучается 36 учащихся. В планах- введение в деятельность  ДШИ  дополнительной   предпрофессиональной общеобразовательной  программы в области музыкального искусства «Народные инструменты».</w:t>
      </w:r>
    </w:p>
    <w:p w:rsidR="00A629DB" w:rsidRPr="00A629DB" w:rsidRDefault="003702AE" w:rsidP="003702AE">
      <w:pPr>
        <w:spacing w:after="0"/>
        <w:ind w:firstLine="708"/>
        <w:jc w:val="both"/>
        <w:rPr>
          <w:rFonts w:ascii="Times New Roman" w:eastAsia="Calibri" w:hAnsi="Times New Roman" w:cs="Times New Roman"/>
          <w:sz w:val="28"/>
          <w:szCs w:val="28"/>
        </w:rPr>
      </w:pPr>
      <w:r>
        <w:rPr>
          <w:rFonts w:ascii="Times New Roman" w:hAnsi="Times New Roman" w:cs="Times New Roman"/>
          <w:sz w:val="28"/>
          <w:szCs w:val="28"/>
        </w:rPr>
        <w:lastRenderedPageBreak/>
        <w:t>Р</w:t>
      </w:r>
      <w:r w:rsidR="00A629DB" w:rsidRPr="00A629DB">
        <w:rPr>
          <w:rFonts w:ascii="Times New Roman" w:eastAsia="Calibri" w:hAnsi="Times New Roman" w:cs="Times New Roman"/>
          <w:sz w:val="28"/>
          <w:szCs w:val="28"/>
        </w:rPr>
        <w:t xml:space="preserve">еализовалась задача по удовлетворению общественных потребностей в </w:t>
      </w:r>
      <w:r w:rsidR="00A629DB" w:rsidRPr="003702AE">
        <w:rPr>
          <w:rFonts w:ascii="Times New Roman" w:eastAsia="Calibri" w:hAnsi="Times New Roman" w:cs="Times New Roman"/>
          <w:i/>
          <w:sz w:val="28"/>
          <w:szCs w:val="28"/>
        </w:rPr>
        <w:t>сохранении и развитии традиционной народной культуры, поддержки художественного любительского творчества, другой самодеятельной творческой инициативы и социальной активности населения, организации его досуга и отдыха</w:t>
      </w:r>
      <w:r w:rsidR="00A629DB" w:rsidRPr="00A629DB">
        <w:rPr>
          <w:rFonts w:ascii="Times New Roman" w:eastAsia="Calibri" w:hAnsi="Times New Roman" w:cs="Times New Roman"/>
          <w:sz w:val="28"/>
          <w:szCs w:val="28"/>
        </w:rPr>
        <w:t xml:space="preserve"> с учетом потребностей и интересов, различных социально – возрастных групп жителей поселка и  сел. Было проведено 415 мероприятия, которые посетили 30, 2 тысяч человек (2014г</w:t>
      </w:r>
      <w:r>
        <w:rPr>
          <w:rFonts w:ascii="Times New Roman" w:hAnsi="Times New Roman" w:cs="Times New Roman"/>
          <w:sz w:val="28"/>
          <w:szCs w:val="28"/>
        </w:rPr>
        <w:t xml:space="preserve"> </w:t>
      </w:r>
      <w:r w:rsidR="00A629DB" w:rsidRPr="00A629DB">
        <w:rPr>
          <w:rFonts w:ascii="Times New Roman" w:eastAsia="Calibri" w:hAnsi="Times New Roman" w:cs="Times New Roman"/>
          <w:sz w:val="28"/>
          <w:szCs w:val="28"/>
        </w:rPr>
        <w:t>- 29,8). В 33 клубных формирования (2014г</w:t>
      </w:r>
      <w:r>
        <w:rPr>
          <w:rFonts w:ascii="Times New Roman" w:hAnsi="Times New Roman" w:cs="Times New Roman"/>
          <w:sz w:val="28"/>
          <w:szCs w:val="28"/>
        </w:rPr>
        <w:t xml:space="preserve"> </w:t>
      </w:r>
      <w:r w:rsidR="00A629DB" w:rsidRPr="00A629DB">
        <w:rPr>
          <w:rFonts w:ascii="Times New Roman" w:eastAsia="Calibri" w:hAnsi="Times New Roman" w:cs="Times New Roman"/>
          <w:sz w:val="28"/>
          <w:szCs w:val="28"/>
        </w:rPr>
        <w:t>- 32) занимаются  355 человека  (2014</w:t>
      </w:r>
      <w:r>
        <w:rPr>
          <w:rFonts w:ascii="Times New Roman" w:hAnsi="Times New Roman" w:cs="Times New Roman"/>
          <w:sz w:val="28"/>
          <w:szCs w:val="28"/>
        </w:rPr>
        <w:t xml:space="preserve"> </w:t>
      </w:r>
      <w:r w:rsidR="00A629DB" w:rsidRPr="00A629DB">
        <w:rPr>
          <w:rFonts w:ascii="Times New Roman" w:eastAsia="Calibri" w:hAnsi="Times New Roman" w:cs="Times New Roman"/>
          <w:sz w:val="28"/>
          <w:szCs w:val="28"/>
        </w:rPr>
        <w:t>-</w:t>
      </w:r>
      <w:r>
        <w:rPr>
          <w:rFonts w:ascii="Times New Roman" w:hAnsi="Times New Roman" w:cs="Times New Roman"/>
          <w:sz w:val="28"/>
          <w:szCs w:val="28"/>
        </w:rPr>
        <w:t xml:space="preserve"> </w:t>
      </w:r>
      <w:r w:rsidR="00A629DB" w:rsidRPr="00A629DB">
        <w:rPr>
          <w:rFonts w:ascii="Times New Roman" w:eastAsia="Calibri" w:hAnsi="Times New Roman" w:cs="Times New Roman"/>
          <w:sz w:val="28"/>
          <w:szCs w:val="28"/>
        </w:rPr>
        <w:t xml:space="preserve">343). Проведены праздники, конкурсы, тематические мероприятия. Зрителям были предложены: выступление  артистки эстрады Юлии Савичевой, концерт пародистов  группы «Экс ББ». Спектакли: «Незамужняя женщина»,  «Аккомпаниатор»,  в исполнении знаменитых  артистов Московских театров. Состоялось выступление театра танца и музыки «Фламенко» г. Москава, камерного оркестра под управлением Александра Григорьевича Зражаева, народной артистки РСФСР  Надежды Бабкиной и ансамбля «Русская  песня». В рамках </w:t>
      </w:r>
      <w:r w:rsidR="00A629DB" w:rsidRPr="00A629DB">
        <w:rPr>
          <w:rFonts w:ascii="Times New Roman" w:eastAsia="Calibri" w:hAnsi="Times New Roman" w:cs="Times New Roman"/>
          <w:sz w:val="28"/>
          <w:szCs w:val="28"/>
          <w:lang w:val="en-US"/>
        </w:rPr>
        <w:t>V</w:t>
      </w:r>
      <w:r w:rsidR="00A629DB" w:rsidRPr="00A629DB">
        <w:rPr>
          <w:rFonts w:ascii="Times New Roman" w:eastAsia="Calibri" w:hAnsi="Times New Roman" w:cs="Times New Roman"/>
          <w:sz w:val="28"/>
          <w:szCs w:val="28"/>
        </w:rPr>
        <w:t xml:space="preserve"> Сахалинского международного фестиваля кино  «Край света»,  состоялась  творческая встреча  с народными артистами Сергеем Варчук, Ией Нинидзе, Аристархом Ливановым. Прошел районный фестиваль «Радуга семейных талантов»,  выступление коллектива художественной само</w:t>
      </w:r>
      <w:r w:rsidR="0090484B">
        <w:rPr>
          <w:rFonts w:ascii="Times New Roman" w:eastAsia="Calibri" w:hAnsi="Times New Roman" w:cs="Times New Roman"/>
          <w:sz w:val="28"/>
          <w:szCs w:val="28"/>
        </w:rPr>
        <w:t>деятельности предприятия «Водока</w:t>
      </w:r>
      <w:r w:rsidR="00A629DB" w:rsidRPr="00A629DB">
        <w:rPr>
          <w:rFonts w:ascii="Times New Roman" w:eastAsia="Calibri" w:hAnsi="Times New Roman" w:cs="Times New Roman"/>
          <w:sz w:val="28"/>
          <w:szCs w:val="28"/>
        </w:rPr>
        <w:t>нал». Состоялась знаменательная Премьера спектакля «Мышеловка» театрального коллектива «Зеркало» Районного центра досуга.</w:t>
      </w:r>
    </w:p>
    <w:p w:rsidR="00A629DB" w:rsidRPr="00A629DB" w:rsidRDefault="00A629DB" w:rsidP="00A629DB">
      <w:pPr>
        <w:tabs>
          <w:tab w:val="left" w:pos="915"/>
        </w:tabs>
        <w:spacing w:after="0"/>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 xml:space="preserve">    Общая численность занятых в </w:t>
      </w:r>
      <w:r w:rsidR="003702AE">
        <w:rPr>
          <w:rFonts w:ascii="Times New Roman" w:hAnsi="Times New Roman" w:cs="Times New Roman"/>
          <w:sz w:val="28"/>
          <w:szCs w:val="28"/>
        </w:rPr>
        <w:t>сфере культы</w:t>
      </w:r>
      <w:r w:rsidRPr="00A629DB">
        <w:rPr>
          <w:rFonts w:ascii="Times New Roman" w:eastAsia="Calibri" w:hAnsi="Times New Roman" w:cs="Times New Roman"/>
          <w:sz w:val="28"/>
          <w:szCs w:val="28"/>
        </w:rPr>
        <w:t xml:space="preserve"> составляет 101 человек, из них специалистов –59%. Специалистов с высшим специальным образованием 45%, со средним специальным – 32%. 1 работник имеет почетное звание «Заслуженный работник культуры Сахалинской области</w:t>
      </w:r>
      <w:r w:rsidR="003702AE">
        <w:rPr>
          <w:rFonts w:ascii="Times New Roman" w:hAnsi="Times New Roman" w:cs="Times New Roman"/>
          <w:sz w:val="28"/>
          <w:szCs w:val="28"/>
        </w:rPr>
        <w:t>»</w:t>
      </w:r>
      <w:r w:rsidRPr="00A629DB">
        <w:rPr>
          <w:rFonts w:ascii="Times New Roman" w:eastAsia="Calibri" w:hAnsi="Times New Roman" w:cs="Times New Roman"/>
          <w:sz w:val="28"/>
          <w:szCs w:val="28"/>
        </w:rPr>
        <w:t xml:space="preserve">. Средняя заработная плата составила 43 </w:t>
      </w:r>
      <w:r w:rsidR="003702AE">
        <w:rPr>
          <w:rFonts w:ascii="Times New Roman" w:hAnsi="Times New Roman" w:cs="Times New Roman"/>
          <w:sz w:val="28"/>
          <w:szCs w:val="28"/>
        </w:rPr>
        <w:t xml:space="preserve">тыс. </w:t>
      </w:r>
      <w:r w:rsidRPr="00A629DB">
        <w:rPr>
          <w:rFonts w:ascii="Times New Roman" w:eastAsia="Calibri" w:hAnsi="Times New Roman" w:cs="Times New Roman"/>
          <w:sz w:val="28"/>
          <w:szCs w:val="28"/>
        </w:rPr>
        <w:t>руб. (2014</w:t>
      </w:r>
      <w:r w:rsidR="003702AE">
        <w:rPr>
          <w:rFonts w:ascii="Times New Roman" w:hAnsi="Times New Roman" w:cs="Times New Roman"/>
          <w:sz w:val="28"/>
          <w:szCs w:val="28"/>
        </w:rPr>
        <w:t xml:space="preserve"> </w:t>
      </w:r>
      <w:r w:rsidRPr="00A629DB">
        <w:rPr>
          <w:rFonts w:ascii="Times New Roman" w:eastAsia="Calibri" w:hAnsi="Times New Roman" w:cs="Times New Roman"/>
          <w:sz w:val="28"/>
          <w:szCs w:val="28"/>
        </w:rPr>
        <w:t>- 42 т.р.).</w:t>
      </w:r>
    </w:p>
    <w:p w:rsidR="00A629DB" w:rsidRPr="00A629DB" w:rsidRDefault="00A629DB" w:rsidP="005B129B">
      <w:pPr>
        <w:spacing w:after="0"/>
        <w:ind w:firstLine="708"/>
        <w:jc w:val="both"/>
        <w:rPr>
          <w:rFonts w:ascii="Times New Roman" w:eastAsia="Calibri" w:hAnsi="Times New Roman" w:cs="Times New Roman"/>
          <w:sz w:val="28"/>
          <w:szCs w:val="28"/>
        </w:rPr>
      </w:pPr>
      <w:r w:rsidRPr="00A629DB">
        <w:rPr>
          <w:rFonts w:ascii="Times New Roman" w:eastAsia="Calibri" w:hAnsi="Times New Roman" w:cs="Times New Roman"/>
          <w:sz w:val="28"/>
          <w:szCs w:val="28"/>
        </w:rPr>
        <w:t>2015 году существенно укрепилась  материально-техническая база учреждений культуры и детской школы искусств: приобретен автобус для учреждений</w:t>
      </w:r>
      <w:r w:rsidR="003702AE">
        <w:rPr>
          <w:rFonts w:ascii="Times New Roman" w:hAnsi="Times New Roman" w:cs="Times New Roman"/>
          <w:sz w:val="28"/>
          <w:szCs w:val="28"/>
        </w:rPr>
        <w:t>,</w:t>
      </w:r>
      <w:r w:rsidR="005B129B">
        <w:rPr>
          <w:rFonts w:ascii="Times New Roman" w:hAnsi="Times New Roman" w:cs="Times New Roman"/>
          <w:sz w:val="28"/>
          <w:szCs w:val="28"/>
        </w:rPr>
        <w:t xml:space="preserve"> </w:t>
      </w:r>
      <w:r w:rsidR="003702AE">
        <w:rPr>
          <w:rFonts w:ascii="Times New Roman" w:hAnsi="Times New Roman" w:cs="Times New Roman"/>
          <w:sz w:val="28"/>
          <w:szCs w:val="28"/>
        </w:rPr>
        <w:t xml:space="preserve">минитипография, </w:t>
      </w:r>
      <w:r w:rsidRPr="00A629DB">
        <w:rPr>
          <w:rFonts w:ascii="Times New Roman" w:eastAsia="Calibri" w:hAnsi="Times New Roman" w:cs="Times New Roman"/>
          <w:sz w:val="28"/>
          <w:szCs w:val="28"/>
        </w:rPr>
        <w:t>музыкальные инструменты, звукоусиливающая  и музыкальная аппаратуры, оргтехника, экспозиционно- выставочное и фондовое оборудование, техническое оборудование и мебель, сценические костюмы и обувь. В 2015 году отремонтирован фасад здания РЦД (</w:t>
      </w:r>
      <w:r w:rsidR="005B129B">
        <w:rPr>
          <w:rFonts w:ascii="Times New Roman" w:hAnsi="Times New Roman" w:cs="Times New Roman"/>
          <w:sz w:val="28"/>
          <w:szCs w:val="28"/>
        </w:rPr>
        <w:t xml:space="preserve">стоимость работ </w:t>
      </w:r>
      <w:r w:rsidRPr="00A629DB">
        <w:rPr>
          <w:rFonts w:ascii="Times New Roman" w:eastAsia="Calibri" w:hAnsi="Times New Roman" w:cs="Times New Roman"/>
          <w:sz w:val="28"/>
          <w:szCs w:val="28"/>
        </w:rPr>
        <w:t>4</w:t>
      </w:r>
      <w:r w:rsidR="005B129B">
        <w:rPr>
          <w:rFonts w:ascii="Times New Roman" w:hAnsi="Times New Roman" w:cs="Times New Roman"/>
          <w:sz w:val="28"/>
          <w:szCs w:val="28"/>
        </w:rPr>
        <w:t>,2 млн. руб.</w:t>
      </w:r>
      <w:r w:rsidRPr="00A629DB">
        <w:rPr>
          <w:rFonts w:ascii="Times New Roman" w:eastAsia="Calibri" w:hAnsi="Times New Roman" w:cs="Times New Roman"/>
          <w:sz w:val="28"/>
          <w:szCs w:val="28"/>
        </w:rPr>
        <w:t>), ремонт помещения СДК с. Ныш (</w:t>
      </w:r>
      <w:r w:rsidR="005B129B">
        <w:rPr>
          <w:rFonts w:ascii="Times New Roman" w:hAnsi="Times New Roman" w:cs="Times New Roman"/>
          <w:sz w:val="28"/>
          <w:szCs w:val="28"/>
        </w:rPr>
        <w:t>1 млн. руб.</w:t>
      </w:r>
      <w:r w:rsidRPr="00A629DB">
        <w:rPr>
          <w:rFonts w:ascii="Times New Roman" w:eastAsia="Calibri" w:hAnsi="Times New Roman" w:cs="Times New Roman"/>
          <w:sz w:val="28"/>
          <w:szCs w:val="28"/>
        </w:rPr>
        <w:t>). Все  это   позволяет обеспечить  высокое качество предоставляемых населению услуг, обновление и расширение форм досуговой деятельности.</w:t>
      </w:r>
    </w:p>
    <w:p w:rsidR="00A629DB" w:rsidRDefault="00A629DB" w:rsidP="00A629DB"/>
    <w:p w:rsidR="00A629DB" w:rsidRPr="005B129B" w:rsidRDefault="005B129B" w:rsidP="005B129B">
      <w:pPr>
        <w:spacing w:after="0"/>
        <w:rPr>
          <w:rFonts w:ascii="Times New Roman" w:eastAsia="Calibri" w:hAnsi="Times New Roman" w:cs="Times New Roman"/>
          <w:b/>
          <w:i/>
          <w:sz w:val="28"/>
          <w:szCs w:val="28"/>
        </w:rPr>
      </w:pPr>
      <w:r w:rsidRPr="005B129B">
        <w:rPr>
          <w:rFonts w:ascii="Times New Roman" w:hAnsi="Times New Roman" w:cs="Times New Roman"/>
          <w:b/>
          <w:i/>
          <w:sz w:val="28"/>
          <w:szCs w:val="28"/>
        </w:rPr>
        <w:t>Физическая культура и спорт</w:t>
      </w:r>
    </w:p>
    <w:p w:rsidR="00A629DB" w:rsidRPr="005B129B" w:rsidRDefault="005B129B" w:rsidP="005B129B">
      <w:pPr>
        <w:spacing w:after="0"/>
        <w:jc w:val="both"/>
        <w:rPr>
          <w:rFonts w:ascii="Times New Roman" w:eastAsia="Calibri"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xml:space="preserve">  </w:t>
      </w:r>
      <w:r w:rsidR="00A629DB" w:rsidRPr="005B129B">
        <w:rPr>
          <w:rFonts w:ascii="Times New Roman" w:eastAsia="Calibri" w:hAnsi="Times New Roman" w:cs="Times New Roman"/>
          <w:color w:val="000000"/>
          <w:sz w:val="28"/>
          <w:szCs w:val="28"/>
          <w:shd w:val="clear" w:color="auto" w:fill="FFFFFF"/>
        </w:rPr>
        <w:t xml:space="preserve">   Для привлечения населения к регулярным занятиям, укреплению спортивных традиций, популяризации видов спорта, культивируемых на базе спортивных учреждений  округа, формированию навыков здорового образа жизни ежегодно разрабатывается календарный план спортивных мероприятий. Эти  мероприятия классифицированы таким образом, чтобы вовлечь максимальное количество участников в зависимости от вида спорта, состояния здоровья, пола, возраста и уровня спортивной подготовки.</w:t>
      </w:r>
      <w:r w:rsidR="00A629DB" w:rsidRPr="005B129B">
        <w:rPr>
          <w:rStyle w:val="apple-converted-space"/>
          <w:rFonts w:ascii="Times New Roman" w:eastAsia="Calibri" w:hAnsi="Times New Roman" w:cs="Times New Roman"/>
          <w:color w:val="000000"/>
          <w:sz w:val="28"/>
          <w:szCs w:val="28"/>
          <w:shd w:val="clear" w:color="auto" w:fill="FFFFFF"/>
        </w:rPr>
        <w:t> </w:t>
      </w:r>
      <w:r w:rsidR="00A629DB" w:rsidRPr="005B129B">
        <w:rPr>
          <w:rFonts w:ascii="Times New Roman" w:eastAsia="Calibri" w:hAnsi="Times New Roman" w:cs="Times New Roman"/>
          <w:sz w:val="28"/>
          <w:szCs w:val="28"/>
        </w:rPr>
        <w:t xml:space="preserve">  </w:t>
      </w:r>
      <w:r>
        <w:rPr>
          <w:rFonts w:ascii="Times New Roman" w:hAnsi="Times New Roman" w:cs="Times New Roman"/>
          <w:sz w:val="28"/>
          <w:szCs w:val="28"/>
        </w:rPr>
        <w:t>В 2015 году б</w:t>
      </w:r>
      <w:r w:rsidR="00A629DB" w:rsidRPr="005B129B">
        <w:rPr>
          <w:rFonts w:ascii="Times New Roman" w:eastAsia="Calibri" w:hAnsi="Times New Roman" w:cs="Times New Roman"/>
          <w:color w:val="000000"/>
          <w:sz w:val="28"/>
          <w:szCs w:val="28"/>
          <w:shd w:val="clear" w:color="auto" w:fill="FFFFFF"/>
        </w:rPr>
        <w:t xml:space="preserve">ыло проведено </w:t>
      </w:r>
      <w:r w:rsidR="00A629DB" w:rsidRPr="005B129B">
        <w:rPr>
          <w:rFonts w:ascii="Times New Roman" w:eastAsia="Calibri" w:hAnsi="Times New Roman" w:cs="Times New Roman"/>
          <w:sz w:val="28"/>
          <w:szCs w:val="28"/>
        </w:rPr>
        <w:t xml:space="preserve">123 </w:t>
      </w:r>
      <w:r w:rsidR="00A629DB" w:rsidRPr="005B129B">
        <w:rPr>
          <w:rFonts w:ascii="Times New Roman" w:eastAsia="Calibri" w:hAnsi="Times New Roman" w:cs="Times New Roman"/>
          <w:color w:val="000000"/>
          <w:sz w:val="28"/>
          <w:szCs w:val="28"/>
          <w:shd w:val="clear" w:color="auto" w:fill="FFFFFF"/>
        </w:rPr>
        <w:t>мероприятия спортивного, оздоровительного и массового характера в  которых участвовало более 2</w:t>
      </w:r>
      <w:r>
        <w:rPr>
          <w:rFonts w:ascii="Times New Roman" w:hAnsi="Times New Roman" w:cs="Times New Roman"/>
          <w:color w:val="000000"/>
          <w:sz w:val="28"/>
          <w:szCs w:val="28"/>
          <w:shd w:val="clear" w:color="auto" w:fill="FFFFFF"/>
        </w:rPr>
        <w:t>,</w:t>
      </w:r>
      <w:r w:rsidR="00A629DB" w:rsidRPr="005B129B">
        <w:rPr>
          <w:rFonts w:ascii="Times New Roman" w:eastAsia="Calibri" w:hAnsi="Times New Roman" w:cs="Times New Roman"/>
          <w:color w:val="000000"/>
          <w:sz w:val="28"/>
          <w:szCs w:val="28"/>
          <w:shd w:val="clear" w:color="auto" w:fill="FFFFFF"/>
        </w:rPr>
        <w:t>7</w:t>
      </w:r>
      <w:r>
        <w:rPr>
          <w:rFonts w:ascii="Times New Roman" w:hAnsi="Times New Roman" w:cs="Times New Roman"/>
          <w:color w:val="000000"/>
          <w:sz w:val="28"/>
          <w:szCs w:val="28"/>
          <w:shd w:val="clear" w:color="auto" w:fill="FFFFFF"/>
        </w:rPr>
        <w:t xml:space="preserve"> тыс. </w:t>
      </w:r>
      <w:r w:rsidR="00A629DB" w:rsidRPr="005B129B">
        <w:rPr>
          <w:rFonts w:ascii="Times New Roman" w:eastAsia="Calibri" w:hAnsi="Times New Roman" w:cs="Times New Roman"/>
          <w:color w:val="000000"/>
          <w:sz w:val="28"/>
          <w:szCs w:val="28"/>
          <w:shd w:val="clear" w:color="auto" w:fill="FFFFFF"/>
        </w:rPr>
        <w:t>человек. Это такие мероприятия:</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«Лыжня России»</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«Кубок мэра по футболу»</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Кросс нации</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Соревнования по хоккею и футболу - «Спорт против подворотни</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xml:space="preserve">Областной турнир по вольной борьбе памяти тренера – преподавателя Михаила Кучерова </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xml:space="preserve">Турнир по хоккею памяти Виктора Дюнешенко </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xml:space="preserve">Спартакиада среди предприятий и организаций </w:t>
      </w:r>
    </w:p>
    <w:p w:rsidR="00A629DB" w:rsidRPr="005B129B" w:rsidRDefault="00A629DB" w:rsidP="005B129B">
      <w:pPr>
        <w:numPr>
          <w:ilvl w:val="0"/>
          <w:numId w:val="3"/>
        </w:numPr>
        <w:spacing w:after="0" w:line="240" w:lineRule="auto"/>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Соревнования, посвященные  «Дню молодежи», «Дню физкультурника», «Дню образования округа»</w:t>
      </w:r>
    </w:p>
    <w:p w:rsidR="00A629DB" w:rsidRPr="005B129B" w:rsidRDefault="00A629DB" w:rsidP="005B129B">
      <w:pPr>
        <w:spacing w:after="0"/>
        <w:jc w:val="both"/>
        <w:rPr>
          <w:rFonts w:ascii="Times New Roman" w:eastAsia="Calibri" w:hAnsi="Times New Roman" w:cs="Times New Roman"/>
          <w:color w:val="000000"/>
          <w:sz w:val="28"/>
          <w:szCs w:val="28"/>
          <w:shd w:val="clear" w:color="auto" w:fill="FFFFFF"/>
        </w:rPr>
      </w:pPr>
    </w:p>
    <w:p w:rsidR="00A629DB" w:rsidRPr="005B129B" w:rsidRDefault="00A629DB" w:rsidP="005B129B">
      <w:pPr>
        <w:spacing w:after="0"/>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xml:space="preserve">     Финансирование мероприятий и укрепление материально-технической базы спортивных учреждений  осуществлялось согласно муниципальной программы «Развитие физической культуры, спорта и молодежной политики в муниципальном образовании «Городской округ Ногликский» на 2015 - 2020 годы» и областных средств  и составило  в 2015 году – более 39 миллионов рублей, в том числе.:</w:t>
      </w:r>
    </w:p>
    <w:p w:rsidR="00A629DB" w:rsidRPr="005B129B" w:rsidRDefault="00A629DB" w:rsidP="005B129B">
      <w:pPr>
        <w:spacing w:after="0"/>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капитальный ремонт бассейна – 26</w:t>
      </w:r>
      <w:r w:rsidR="005B129B">
        <w:rPr>
          <w:rFonts w:ascii="Times New Roman" w:hAnsi="Times New Roman" w:cs="Times New Roman"/>
          <w:color w:val="000000"/>
          <w:sz w:val="28"/>
          <w:szCs w:val="28"/>
          <w:shd w:val="clear" w:color="auto" w:fill="FFFFFF"/>
        </w:rPr>
        <w:t>,</w:t>
      </w:r>
      <w:r w:rsidRPr="005B129B">
        <w:rPr>
          <w:rFonts w:ascii="Times New Roman" w:eastAsia="Calibri" w:hAnsi="Times New Roman" w:cs="Times New Roman"/>
          <w:color w:val="000000"/>
          <w:sz w:val="28"/>
          <w:szCs w:val="28"/>
          <w:shd w:val="clear" w:color="auto" w:fill="FFFFFF"/>
        </w:rPr>
        <w:t> </w:t>
      </w:r>
      <w:r w:rsidR="005B129B">
        <w:rPr>
          <w:rFonts w:ascii="Times New Roman" w:hAnsi="Times New Roman" w:cs="Times New Roman"/>
          <w:color w:val="000000"/>
          <w:sz w:val="28"/>
          <w:szCs w:val="28"/>
          <w:shd w:val="clear" w:color="auto" w:fill="FFFFFF"/>
        </w:rPr>
        <w:t>2</w:t>
      </w:r>
      <w:r w:rsidRPr="005B129B">
        <w:rPr>
          <w:rFonts w:ascii="Times New Roman" w:eastAsia="Calibri" w:hAnsi="Times New Roman" w:cs="Times New Roman"/>
          <w:color w:val="000000"/>
          <w:sz w:val="28"/>
          <w:szCs w:val="28"/>
          <w:shd w:val="clear" w:color="auto" w:fill="FFFFFF"/>
        </w:rPr>
        <w:t xml:space="preserve"> </w:t>
      </w:r>
      <w:r w:rsidR="005B129B">
        <w:rPr>
          <w:rFonts w:ascii="Times New Roman" w:hAnsi="Times New Roman" w:cs="Times New Roman"/>
          <w:color w:val="000000"/>
          <w:sz w:val="28"/>
          <w:szCs w:val="28"/>
          <w:shd w:val="clear" w:color="auto" w:fill="FFFFFF"/>
        </w:rPr>
        <w:t xml:space="preserve">млн. </w:t>
      </w:r>
      <w:r w:rsidRPr="005B129B">
        <w:rPr>
          <w:rFonts w:ascii="Times New Roman" w:eastAsia="Calibri" w:hAnsi="Times New Roman" w:cs="Times New Roman"/>
          <w:color w:val="000000"/>
          <w:sz w:val="28"/>
          <w:szCs w:val="28"/>
          <w:shd w:val="clear" w:color="auto" w:fill="FFFFFF"/>
        </w:rPr>
        <w:t xml:space="preserve"> рублей.;</w:t>
      </w:r>
    </w:p>
    <w:p w:rsidR="00A629DB" w:rsidRPr="005B129B" w:rsidRDefault="00A629DB" w:rsidP="005B129B">
      <w:pPr>
        <w:spacing w:after="0"/>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инженерные изыскания «Крытый корт пгт.</w:t>
      </w:r>
      <w:r w:rsidR="0090484B">
        <w:rPr>
          <w:rFonts w:ascii="Times New Roman" w:eastAsia="Calibri" w:hAnsi="Times New Roman" w:cs="Times New Roman"/>
          <w:color w:val="000000"/>
          <w:sz w:val="28"/>
          <w:szCs w:val="28"/>
          <w:shd w:val="clear" w:color="auto" w:fill="FFFFFF"/>
        </w:rPr>
        <w:t xml:space="preserve"> </w:t>
      </w:r>
      <w:r w:rsidRPr="005B129B">
        <w:rPr>
          <w:rFonts w:ascii="Times New Roman" w:eastAsia="Calibri" w:hAnsi="Times New Roman" w:cs="Times New Roman"/>
          <w:color w:val="000000"/>
          <w:sz w:val="28"/>
          <w:szCs w:val="28"/>
          <w:shd w:val="clear" w:color="auto" w:fill="FFFFFF"/>
        </w:rPr>
        <w:t>Ноглики» – 1</w:t>
      </w:r>
      <w:r w:rsidR="005B129B">
        <w:rPr>
          <w:rFonts w:ascii="Times New Roman" w:hAnsi="Times New Roman" w:cs="Times New Roman"/>
          <w:color w:val="000000"/>
          <w:sz w:val="28"/>
          <w:szCs w:val="28"/>
          <w:shd w:val="clear" w:color="auto" w:fill="FFFFFF"/>
        </w:rPr>
        <w:t>,</w:t>
      </w:r>
      <w:r w:rsidRPr="005B129B">
        <w:rPr>
          <w:rFonts w:ascii="Times New Roman" w:eastAsia="Calibri" w:hAnsi="Times New Roman" w:cs="Times New Roman"/>
          <w:color w:val="000000"/>
          <w:sz w:val="28"/>
          <w:szCs w:val="28"/>
          <w:shd w:val="clear" w:color="auto" w:fill="FFFFFF"/>
        </w:rPr>
        <w:t>1</w:t>
      </w:r>
      <w:r w:rsidR="005B129B">
        <w:rPr>
          <w:rFonts w:ascii="Times New Roman" w:hAnsi="Times New Roman" w:cs="Times New Roman"/>
          <w:color w:val="000000"/>
          <w:sz w:val="28"/>
          <w:szCs w:val="28"/>
          <w:shd w:val="clear" w:color="auto" w:fill="FFFFFF"/>
        </w:rPr>
        <w:t xml:space="preserve"> млн</w:t>
      </w:r>
      <w:r w:rsidRPr="005B129B">
        <w:rPr>
          <w:rFonts w:ascii="Times New Roman" w:eastAsia="Calibri" w:hAnsi="Times New Roman" w:cs="Times New Roman"/>
          <w:color w:val="000000"/>
          <w:sz w:val="28"/>
          <w:szCs w:val="28"/>
          <w:shd w:val="clear" w:color="auto" w:fill="FFFFFF"/>
        </w:rPr>
        <w:t>. руб.</w:t>
      </w:r>
    </w:p>
    <w:p w:rsidR="00A629DB" w:rsidRPr="005B129B" w:rsidRDefault="00A629DB" w:rsidP="005B129B">
      <w:pPr>
        <w:spacing w:after="0"/>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ремонт крыши  лыжной базы– 1</w:t>
      </w:r>
      <w:r w:rsidR="005B129B">
        <w:rPr>
          <w:rFonts w:ascii="Times New Roman" w:hAnsi="Times New Roman" w:cs="Times New Roman"/>
          <w:color w:val="000000"/>
          <w:sz w:val="28"/>
          <w:szCs w:val="28"/>
          <w:shd w:val="clear" w:color="auto" w:fill="FFFFFF"/>
        </w:rPr>
        <w:t>,</w:t>
      </w:r>
      <w:r w:rsidRPr="005B129B">
        <w:rPr>
          <w:rFonts w:ascii="Times New Roman" w:eastAsia="Calibri" w:hAnsi="Times New Roman" w:cs="Times New Roman"/>
          <w:color w:val="000000"/>
          <w:sz w:val="28"/>
          <w:szCs w:val="28"/>
          <w:shd w:val="clear" w:color="auto" w:fill="FFFFFF"/>
        </w:rPr>
        <w:t>5</w:t>
      </w:r>
      <w:r w:rsidR="005B129B">
        <w:rPr>
          <w:rFonts w:ascii="Times New Roman" w:hAnsi="Times New Roman" w:cs="Times New Roman"/>
          <w:color w:val="000000"/>
          <w:sz w:val="28"/>
          <w:szCs w:val="28"/>
          <w:shd w:val="clear" w:color="auto" w:fill="FFFFFF"/>
        </w:rPr>
        <w:t xml:space="preserve"> млн. </w:t>
      </w:r>
      <w:r w:rsidRPr="005B129B">
        <w:rPr>
          <w:rFonts w:ascii="Times New Roman" w:eastAsia="Calibri" w:hAnsi="Times New Roman" w:cs="Times New Roman"/>
          <w:color w:val="000000"/>
          <w:sz w:val="28"/>
          <w:szCs w:val="28"/>
          <w:shd w:val="clear" w:color="auto" w:fill="FFFFFF"/>
        </w:rPr>
        <w:t>руб.,</w:t>
      </w:r>
    </w:p>
    <w:p w:rsidR="00A629DB" w:rsidRPr="005B129B" w:rsidRDefault="005B129B" w:rsidP="005B129B">
      <w:pPr>
        <w:spacing w:after="0"/>
        <w:ind w:firstLine="708"/>
        <w:jc w:val="both"/>
        <w:rPr>
          <w:rFonts w:ascii="Times New Roman" w:eastAsia="Calibri"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Уделялось </w:t>
      </w:r>
      <w:r w:rsidR="00A629DB" w:rsidRPr="005B129B">
        <w:rPr>
          <w:rFonts w:ascii="Times New Roman" w:eastAsia="Calibri" w:hAnsi="Times New Roman" w:cs="Times New Roman"/>
          <w:color w:val="000000"/>
          <w:sz w:val="28"/>
          <w:szCs w:val="28"/>
          <w:shd w:val="clear" w:color="auto" w:fill="FFFFFF"/>
        </w:rPr>
        <w:t>внимание укреплению материально – технической базы: спортивная школа – более 2 миллионов, спортивного комплекса «Арена» - 6</w:t>
      </w:r>
      <w:r>
        <w:rPr>
          <w:rFonts w:ascii="Times New Roman" w:hAnsi="Times New Roman" w:cs="Times New Roman"/>
          <w:color w:val="000000"/>
          <w:sz w:val="28"/>
          <w:szCs w:val="28"/>
          <w:shd w:val="clear" w:color="auto" w:fill="FFFFFF"/>
        </w:rPr>
        <w:t>,4 млн.</w:t>
      </w:r>
      <w:r w:rsidR="00A629DB" w:rsidRPr="005B129B">
        <w:rPr>
          <w:rFonts w:ascii="Times New Roman" w:eastAsia="Calibri" w:hAnsi="Times New Roman" w:cs="Times New Roman"/>
          <w:color w:val="000000"/>
          <w:sz w:val="28"/>
          <w:szCs w:val="28"/>
          <w:shd w:val="clear" w:color="auto" w:fill="FFFFFF"/>
        </w:rPr>
        <w:t xml:space="preserve"> руб.. На  проведение  спортивных мероприятий и участие спортивных команд в районных и областных  соревнованиях было израсходовано </w:t>
      </w:r>
      <w:r>
        <w:rPr>
          <w:rFonts w:ascii="Times New Roman" w:hAnsi="Times New Roman" w:cs="Times New Roman"/>
          <w:color w:val="000000"/>
          <w:sz w:val="28"/>
          <w:szCs w:val="28"/>
          <w:shd w:val="clear" w:color="auto" w:fill="FFFFFF"/>
        </w:rPr>
        <w:t>–</w:t>
      </w:r>
      <w:r w:rsidR="00A629DB" w:rsidRPr="005B129B">
        <w:rPr>
          <w:rFonts w:ascii="Times New Roman" w:eastAsia="Calibri" w:hAnsi="Times New Roman" w:cs="Times New Roman"/>
          <w:color w:val="000000"/>
          <w:sz w:val="28"/>
          <w:szCs w:val="28"/>
          <w:shd w:val="clear" w:color="auto" w:fill="FFFFFF"/>
        </w:rPr>
        <w:t xml:space="preserve"> 3</w:t>
      </w:r>
      <w:r>
        <w:rPr>
          <w:rFonts w:ascii="Times New Roman" w:hAnsi="Times New Roman" w:cs="Times New Roman"/>
          <w:color w:val="000000"/>
          <w:sz w:val="28"/>
          <w:szCs w:val="28"/>
          <w:shd w:val="clear" w:color="auto" w:fill="FFFFFF"/>
        </w:rPr>
        <w:t>,</w:t>
      </w:r>
      <w:r w:rsidR="00A629DB" w:rsidRPr="005B129B">
        <w:rPr>
          <w:rFonts w:ascii="Times New Roman" w:eastAsia="Calibri" w:hAnsi="Times New Roman" w:cs="Times New Roman"/>
          <w:color w:val="000000"/>
          <w:sz w:val="28"/>
          <w:szCs w:val="28"/>
          <w:shd w:val="clear" w:color="auto" w:fill="FFFFFF"/>
        </w:rPr>
        <w:t>9</w:t>
      </w:r>
      <w:r>
        <w:rPr>
          <w:rFonts w:ascii="Times New Roman" w:hAnsi="Times New Roman" w:cs="Times New Roman"/>
          <w:color w:val="000000"/>
          <w:sz w:val="28"/>
          <w:szCs w:val="28"/>
          <w:shd w:val="clear" w:color="auto" w:fill="FFFFFF"/>
        </w:rPr>
        <w:t xml:space="preserve"> млн.</w:t>
      </w:r>
      <w:r w:rsidR="00A629DB" w:rsidRPr="005B129B">
        <w:rPr>
          <w:rFonts w:ascii="Times New Roman" w:eastAsia="Calibri" w:hAnsi="Times New Roman" w:cs="Times New Roman"/>
          <w:color w:val="000000"/>
          <w:sz w:val="28"/>
          <w:szCs w:val="28"/>
          <w:shd w:val="clear" w:color="auto" w:fill="FFFFFF"/>
        </w:rPr>
        <w:t xml:space="preserve"> руб.,</w:t>
      </w:r>
    </w:p>
    <w:p w:rsidR="00A629DB" w:rsidRDefault="00A629DB" w:rsidP="005B129B">
      <w:pPr>
        <w:spacing w:after="0"/>
        <w:ind w:firstLine="708"/>
        <w:jc w:val="both"/>
        <w:rPr>
          <w:rFonts w:ascii="Times New Roman" w:eastAsia="Calibri" w:hAnsi="Times New Roman" w:cs="Times New Roman"/>
          <w:color w:val="000000"/>
          <w:sz w:val="28"/>
          <w:szCs w:val="28"/>
          <w:shd w:val="clear" w:color="auto" w:fill="FFFFFF"/>
        </w:rPr>
      </w:pPr>
      <w:r w:rsidRPr="005B129B">
        <w:rPr>
          <w:rFonts w:ascii="Times New Roman" w:eastAsia="Calibri" w:hAnsi="Times New Roman" w:cs="Times New Roman"/>
          <w:color w:val="000000"/>
          <w:sz w:val="28"/>
          <w:szCs w:val="28"/>
          <w:shd w:val="clear" w:color="auto" w:fill="FFFFFF"/>
        </w:rPr>
        <w:t xml:space="preserve">Комплекс мероприятий повлиял на  увеличение числа жителей, привлеченных к регулярным занятиям физической культурой и спортом, если в  </w:t>
      </w:r>
      <w:smartTag w:uri="urn:schemas-microsoft-com:office:smarttags" w:element="metricconverter">
        <w:smartTagPr>
          <w:attr w:name="ProductID" w:val="2014 г"/>
        </w:smartTagPr>
        <w:r w:rsidRPr="005B129B">
          <w:rPr>
            <w:rFonts w:ascii="Times New Roman" w:eastAsia="Calibri" w:hAnsi="Times New Roman" w:cs="Times New Roman"/>
            <w:color w:val="000000"/>
            <w:sz w:val="28"/>
            <w:szCs w:val="28"/>
            <w:shd w:val="clear" w:color="auto" w:fill="FFFFFF"/>
          </w:rPr>
          <w:t>2014 г</w:t>
        </w:r>
      </w:smartTag>
      <w:r w:rsidRPr="005B129B">
        <w:rPr>
          <w:rFonts w:ascii="Times New Roman" w:eastAsia="Calibri" w:hAnsi="Times New Roman" w:cs="Times New Roman"/>
          <w:color w:val="000000"/>
          <w:sz w:val="28"/>
          <w:szCs w:val="28"/>
          <w:shd w:val="clear" w:color="auto" w:fill="FFFFFF"/>
        </w:rPr>
        <w:t>. эта цифра достигала  2943</w:t>
      </w:r>
      <w:r w:rsidRPr="005B129B">
        <w:rPr>
          <w:rFonts w:ascii="Times New Roman" w:eastAsia="Calibri" w:hAnsi="Times New Roman" w:cs="Times New Roman"/>
          <w:b/>
          <w:color w:val="000000"/>
          <w:sz w:val="28"/>
          <w:szCs w:val="28"/>
          <w:shd w:val="clear" w:color="auto" w:fill="FFFFFF"/>
        </w:rPr>
        <w:t xml:space="preserve"> </w:t>
      </w:r>
      <w:r w:rsidRPr="005B129B">
        <w:rPr>
          <w:rFonts w:ascii="Times New Roman" w:eastAsia="Calibri" w:hAnsi="Times New Roman" w:cs="Times New Roman"/>
          <w:color w:val="000000"/>
          <w:sz w:val="28"/>
          <w:szCs w:val="28"/>
          <w:shd w:val="clear" w:color="auto" w:fill="FFFFFF"/>
        </w:rPr>
        <w:t xml:space="preserve">чел.,  то уже в </w:t>
      </w:r>
      <w:smartTag w:uri="urn:schemas-microsoft-com:office:smarttags" w:element="metricconverter">
        <w:smartTagPr>
          <w:attr w:name="ProductID" w:val="2015 г"/>
        </w:smartTagPr>
        <w:r w:rsidRPr="005B129B">
          <w:rPr>
            <w:rFonts w:ascii="Times New Roman" w:eastAsia="Calibri" w:hAnsi="Times New Roman" w:cs="Times New Roman"/>
            <w:color w:val="000000"/>
            <w:sz w:val="28"/>
            <w:szCs w:val="28"/>
            <w:shd w:val="clear" w:color="auto" w:fill="FFFFFF"/>
          </w:rPr>
          <w:t>2015 г</w:t>
        </w:r>
      </w:smartTag>
      <w:r w:rsidRPr="005B129B">
        <w:rPr>
          <w:rFonts w:ascii="Times New Roman" w:eastAsia="Calibri" w:hAnsi="Times New Roman" w:cs="Times New Roman"/>
          <w:color w:val="000000"/>
          <w:sz w:val="28"/>
          <w:szCs w:val="28"/>
          <w:shd w:val="clear" w:color="auto" w:fill="FFFFFF"/>
        </w:rPr>
        <w:t>. – 3570 чел.</w:t>
      </w:r>
    </w:p>
    <w:p w:rsidR="00EA3099" w:rsidRDefault="00EA3099" w:rsidP="005B129B">
      <w:pPr>
        <w:spacing w:after="0"/>
        <w:ind w:firstLine="708"/>
        <w:jc w:val="both"/>
        <w:rPr>
          <w:rFonts w:ascii="Times New Roman" w:hAnsi="Times New Roman" w:cs="Times New Roman"/>
          <w:color w:val="000000"/>
          <w:sz w:val="28"/>
          <w:szCs w:val="28"/>
          <w:shd w:val="clear" w:color="auto" w:fill="FFFFFF"/>
        </w:rPr>
      </w:pPr>
    </w:p>
    <w:p w:rsidR="00EA3099" w:rsidRDefault="00EA3099" w:rsidP="005B129B">
      <w:pPr>
        <w:spacing w:after="0"/>
        <w:ind w:firstLine="708"/>
        <w:jc w:val="both"/>
        <w:rPr>
          <w:rFonts w:ascii="Times New Roman" w:hAnsi="Times New Roman" w:cs="Times New Roman"/>
          <w:color w:val="000000"/>
          <w:sz w:val="28"/>
          <w:szCs w:val="28"/>
          <w:shd w:val="clear" w:color="auto" w:fill="FFFFFF"/>
        </w:rPr>
      </w:pPr>
    </w:p>
    <w:p w:rsidR="00EA3099" w:rsidRDefault="00EA3099" w:rsidP="00EA3099">
      <w:pPr>
        <w:spacing w:after="0"/>
        <w:jc w:val="center"/>
        <w:rPr>
          <w:rFonts w:ascii="Times New Roman" w:hAnsi="Times New Roman"/>
          <w:b/>
          <w:sz w:val="26"/>
          <w:szCs w:val="26"/>
        </w:rPr>
      </w:pPr>
      <w:r>
        <w:rPr>
          <w:rFonts w:ascii="Times New Roman" w:hAnsi="Times New Roman"/>
          <w:b/>
          <w:sz w:val="26"/>
          <w:szCs w:val="26"/>
        </w:rPr>
        <w:lastRenderedPageBreak/>
        <w:t>Количество граждан систематически занимающихся</w:t>
      </w:r>
    </w:p>
    <w:p w:rsidR="00EA3099" w:rsidRPr="00EA3099" w:rsidRDefault="00EA3099" w:rsidP="00EA3099">
      <w:pPr>
        <w:spacing w:after="0"/>
        <w:jc w:val="center"/>
        <w:rPr>
          <w:rFonts w:ascii="Times New Roman" w:hAnsi="Times New Roman"/>
          <w:b/>
          <w:sz w:val="26"/>
          <w:szCs w:val="26"/>
        </w:rPr>
      </w:pPr>
      <w:r>
        <w:rPr>
          <w:rFonts w:ascii="Times New Roman" w:hAnsi="Times New Roman"/>
          <w:b/>
          <w:sz w:val="26"/>
          <w:szCs w:val="26"/>
        </w:rPr>
        <w:t xml:space="preserve"> физической культурой и спортом, чел.</w:t>
      </w:r>
    </w:p>
    <w:p w:rsidR="00EA3099" w:rsidRDefault="00EA3099" w:rsidP="00EA3099">
      <w:pPr>
        <w:keepNext/>
        <w:spacing w:after="0"/>
        <w:ind w:firstLine="709"/>
        <w:jc w:val="both"/>
      </w:pPr>
      <w:r>
        <w:rPr>
          <w:rFonts w:ascii="Times New Roman" w:hAnsi="Times New Roman"/>
          <w:b/>
          <w:i/>
          <w:noProof/>
          <w:sz w:val="26"/>
          <w:szCs w:val="26"/>
          <w:u w:val="single"/>
        </w:rPr>
        <w:drawing>
          <wp:inline distT="0" distB="0" distL="0" distR="0">
            <wp:extent cx="5486400" cy="3200400"/>
            <wp:effectExtent l="19050" t="0" r="19050" b="0"/>
            <wp:docPr id="1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5B129B" w:rsidRDefault="00EA3099" w:rsidP="00EA3099">
      <w:pPr>
        <w:spacing w:after="0"/>
        <w:ind w:firstLine="708"/>
        <w:jc w:val="center"/>
        <w:rPr>
          <w:rFonts w:ascii="Times New Roman" w:eastAsia="Calibri" w:hAnsi="Times New Roman" w:cs="Times New Roman"/>
          <w:i/>
          <w:color w:val="000000"/>
          <w:sz w:val="24"/>
          <w:szCs w:val="24"/>
          <w:shd w:val="clear" w:color="auto" w:fill="FFFFFF"/>
        </w:rPr>
      </w:pPr>
      <w:r>
        <w:rPr>
          <w:rFonts w:ascii="Times New Roman" w:eastAsia="Calibri" w:hAnsi="Times New Roman" w:cs="Times New Roman"/>
          <w:i/>
          <w:color w:val="000000"/>
          <w:sz w:val="24"/>
          <w:szCs w:val="24"/>
          <w:shd w:val="clear" w:color="auto" w:fill="FFFFFF"/>
        </w:rPr>
        <w:t>Рисунок 37</w:t>
      </w:r>
    </w:p>
    <w:p w:rsidR="00EA3099" w:rsidRPr="00EA3099" w:rsidRDefault="00EA3099" w:rsidP="00EA3099">
      <w:pPr>
        <w:spacing w:after="0"/>
        <w:ind w:firstLine="708"/>
        <w:jc w:val="center"/>
        <w:rPr>
          <w:rFonts w:ascii="Times New Roman" w:eastAsia="Calibri" w:hAnsi="Times New Roman" w:cs="Times New Roman"/>
          <w:i/>
          <w:color w:val="000000"/>
          <w:sz w:val="24"/>
          <w:szCs w:val="24"/>
          <w:shd w:val="clear" w:color="auto" w:fill="FFFFFF"/>
        </w:rPr>
      </w:pP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          Наличие и качество спортивных сооружений является наиболее значимым показателем развития физкультурно-спортивной отрасли и необходимым условием увеличения численности населения, систематически занимающегося физической культурой и спортом. </w:t>
      </w:r>
      <w:r w:rsidRPr="005B129B">
        <w:rPr>
          <w:rFonts w:ascii="Times New Roman" w:eastAsia="Calibri" w:hAnsi="Times New Roman" w:cs="Times New Roman"/>
          <w:sz w:val="28"/>
          <w:szCs w:val="28"/>
        </w:rPr>
        <w:tab/>
        <w:t xml:space="preserve">В настоящее </w:t>
      </w:r>
      <w:r w:rsidR="005B129B">
        <w:rPr>
          <w:rFonts w:ascii="Times New Roman" w:eastAsia="Calibri" w:hAnsi="Times New Roman" w:cs="Times New Roman"/>
          <w:sz w:val="28"/>
          <w:szCs w:val="28"/>
        </w:rPr>
        <w:t>время  в округе  функционируют</w:t>
      </w:r>
      <w:r w:rsidRPr="005B129B">
        <w:rPr>
          <w:rFonts w:ascii="Times New Roman" w:eastAsia="Calibri" w:hAnsi="Times New Roman" w:cs="Times New Roman"/>
          <w:sz w:val="28"/>
          <w:szCs w:val="28"/>
        </w:rPr>
        <w:t>:</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спортивные залы общеобразовательных школ</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лыжная база с пунктом проката лыж</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  хоккейный корт при СОШ №1 </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плавательный  бассейн</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спортивный комплекс «Арена»</w:t>
      </w:r>
    </w:p>
    <w:p w:rsidR="00A629DB" w:rsidRPr="005B129B" w:rsidRDefault="00A629DB" w:rsidP="00EA3099">
      <w:pPr>
        <w:spacing w:after="0"/>
        <w:ind w:firstLine="54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На стадионе «Лесной»  регулярно занимаются ребята из спортивных секций ДЮСШ, учащиеся общеобразовательных школ,  в летнее время проводятся спортивные соревнования для детей из  летних пришкольных лагерей. Организована группа Здоровья, в свободное от работы время на стадионе население с удовольствием занимается бегом, спортивной ходьбой, футболом, волейболом, лыжными прогулками. Лыжная база оказывает населению услуги по прокату лыж. В 2015 году услугами</w:t>
      </w:r>
      <w:r w:rsidR="0090484B">
        <w:rPr>
          <w:rFonts w:ascii="Times New Roman" w:eastAsia="Calibri" w:hAnsi="Times New Roman" w:cs="Times New Roman"/>
          <w:sz w:val="28"/>
          <w:szCs w:val="28"/>
        </w:rPr>
        <w:t xml:space="preserve"> воспользовались 1 229чел.,  (2</w:t>
      </w:r>
      <w:r w:rsidRPr="005B129B">
        <w:rPr>
          <w:rFonts w:ascii="Times New Roman" w:eastAsia="Calibri" w:hAnsi="Times New Roman" w:cs="Times New Roman"/>
          <w:sz w:val="28"/>
          <w:szCs w:val="28"/>
        </w:rPr>
        <w:t xml:space="preserve">014 году – 750 чел.). Учащиеся общеобразовательных школ и воспитанники ДЮСШ пользуются лыжным инвентарем бесплатно. </w:t>
      </w:r>
    </w:p>
    <w:p w:rsidR="00A629DB" w:rsidRPr="0090484B" w:rsidRDefault="00A629DB" w:rsidP="0090484B">
      <w:pPr>
        <w:autoSpaceDE w:val="0"/>
        <w:autoSpaceDN w:val="0"/>
        <w:adjustRightInd w:val="0"/>
        <w:spacing w:after="0"/>
        <w:ind w:firstLine="540"/>
        <w:jc w:val="both"/>
        <w:outlineLvl w:val="2"/>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Спортивный комплекс «Арена» также является  популярным спортивным  сооружением среди взрослого и детского населения. Здесь </w:t>
      </w:r>
      <w:r w:rsidRPr="005B129B">
        <w:rPr>
          <w:rFonts w:ascii="Times New Roman" w:eastAsia="Calibri" w:hAnsi="Times New Roman" w:cs="Times New Roman"/>
          <w:sz w:val="28"/>
          <w:szCs w:val="28"/>
        </w:rPr>
        <w:lastRenderedPageBreak/>
        <w:t>каждый может найти занятие по душе, для посетителей открыты: тренажерный  и игровые залы, зал аэробики, бильярдная комната, можно посостязаться играя в волейбол, футбол, бильярд, настольный теннис и оздоровиться в сауне.</w:t>
      </w:r>
    </w:p>
    <w:p w:rsidR="00A629DB" w:rsidRPr="005B129B" w:rsidRDefault="0090484B" w:rsidP="005B129B">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Большое внимание  уделялось</w:t>
      </w:r>
      <w:r w:rsidR="00A629DB" w:rsidRPr="005B129B">
        <w:rPr>
          <w:rFonts w:ascii="Times New Roman" w:eastAsia="Calibri" w:hAnsi="Times New Roman" w:cs="Times New Roman"/>
          <w:sz w:val="28"/>
          <w:szCs w:val="28"/>
        </w:rPr>
        <w:t xml:space="preserve">  развитию детского и юношеского спорта в округе. В феврале стартовали районные соревнования по хоккею в рамках проекта  «Спорт против подворотни». Команда </w:t>
      </w:r>
      <w:r w:rsidRPr="005B129B">
        <w:rPr>
          <w:rFonts w:ascii="Times New Roman" w:eastAsia="Calibri" w:hAnsi="Times New Roman" w:cs="Times New Roman"/>
          <w:sz w:val="28"/>
          <w:szCs w:val="28"/>
        </w:rPr>
        <w:t>хоккеистов</w:t>
      </w:r>
      <w:r w:rsidR="00A629DB" w:rsidRPr="005B129B">
        <w:rPr>
          <w:rFonts w:ascii="Times New Roman" w:eastAsia="Calibri" w:hAnsi="Times New Roman" w:cs="Times New Roman"/>
          <w:sz w:val="28"/>
          <w:szCs w:val="28"/>
        </w:rPr>
        <w:t xml:space="preserve"> «Ногликские Медведи» средняя и старшая группа приняли участие в областном турнир, где заняли 2 место в своих возрастных гру</w:t>
      </w:r>
      <w:r>
        <w:rPr>
          <w:rFonts w:ascii="Times New Roman" w:eastAsia="Calibri" w:hAnsi="Times New Roman" w:cs="Times New Roman"/>
          <w:sz w:val="28"/>
          <w:szCs w:val="28"/>
        </w:rPr>
        <w:t>ппах (тренер  Гарматюк А. Н</w:t>
      </w:r>
      <w:r w:rsidR="00A629DB" w:rsidRPr="005B129B">
        <w:rPr>
          <w:rFonts w:ascii="Times New Roman" w:eastAsia="Calibri" w:hAnsi="Times New Roman" w:cs="Times New Roman"/>
          <w:sz w:val="28"/>
          <w:szCs w:val="28"/>
        </w:rPr>
        <w:t>.) В первенстве  Детской хоккейной  лиги команда стала чемпионом Сахалинской области. В рамках этого проекта футбольная команда ДЮСШа в первенстве Сахалинской области заняла 2 – е место, а сборная команда муниципального образования в областных соревнованиях  заняли 3 – е место</w:t>
      </w:r>
      <w:r>
        <w:rPr>
          <w:rFonts w:ascii="Times New Roman" w:eastAsia="Calibri" w:hAnsi="Times New Roman" w:cs="Times New Roman"/>
          <w:sz w:val="28"/>
          <w:szCs w:val="28"/>
        </w:rPr>
        <w:t xml:space="preserve"> </w:t>
      </w:r>
      <w:r w:rsidR="00A629DB" w:rsidRPr="005B129B">
        <w:rPr>
          <w:rFonts w:ascii="Times New Roman" w:eastAsia="Calibri" w:hAnsi="Times New Roman" w:cs="Times New Roman"/>
          <w:sz w:val="28"/>
          <w:szCs w:val="28"/>
        </w:rPr>
        <w:t>(</w:t>
      </w:r>
      <w:r>
        <w:rPr>
          <w:rFonts w:ascii="Times New Roman" w:eastAsia="Calibri" w:hAnsi="Times New Roman" w:cs="Times New Roman"/>
          <w:sz w:val="28"/>
          <w:szCs w:val="28"/>
        </w:rPr>
        <w:t>тренер Барышевский Н</w:t>
      </w:r>
      <w:r w:rsidR="00A629DB" w:rsidRPr="005B129B">
        <w:rPr>
          <w:rFonts w:ascii="Times New Roman" w:eastAsia="Calibri" w:hAnsi="Times New Roman" w:cs="Times New Roman"/>
          <w:sz w:val="28"/>
          <w:szCs w:val="28"/>
        </w:rPr>
        <w:t>.).</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  </w:t>
      </w:r>
      <w:r w:rsidR="0090484B">
        <w:rPr>
          <w:rFonts w:ascii="Times New Roman" w:eastAsia="Calibri" w:hAnsi="Times New Roman" w:cs="Times New Roman"/>
          <w:sz w:val="28"/>
          <w:szCs w:val="28"/>
        </w:rPr>
        <w:tab/>
      </w:r>
      <w:r w:rsidRPr="005B129B">
        <w:rPr>
          <w:rFonts w:ascii="Times New Roman" w:eastAsia="Calibri" w:hAnsi="Times New Roman" w:cs="Times New Roman"/>
          <w:sz w:val="28"/>
          <w:szCs w:val="28"/>
        </w:rPr>
        <w:t>Районные команды  активно участвовали во Всероссийском проекте «Мини футбол в школу». Учащиеся гимназии и учащиеся школы  № 1 стали чемпионами в г. Южно-Сахалинске,  а учащиеся  (2002 – 2003г.р.) заняли 2 – е место.</w:t>
      </w:r>
    </w:p>
    <w:p w:rsidR="00A629DB" w:rsidRPr="005B129B" w:rsidRDefault="00A629DB" w:rsidP="0090484B">
      <w:pPr>
        <w:spacing w:after="0"/>
        <w:ind w:firstLine="708"/>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Волейбольная команда (юноши) под руководством  тренера</w:t>
      </w:r>
      <w:r w:rsidR="0090484B">
        <w:rPr>
          <w:rFonts w:ascii="Times New Roman" w:eastAsia="Calibri" w:hAnsi="Times New Roman" w:cs="Times New Roman"/>
          <w:sz w:val="28"/>
          <w:szCs w:val="28"/>
        </w:rPr>
        <w:t xml:space="preserve"> – преподавателя Санги Натальи,</w:t>
      </w:r>
      <w:r w:rsidRPr="005B129B">
        <w:rPr>
          <w:rFonts w:ascii="Times New Roman" w:eastAsia="Calibri" w:hAnsi="Times New Roman" w:cs="Times New Roman"/>
          <w:sz w:val="28"/>
          <w:szCs w:val="28"/>
        </w:rPr>
        <w:t xml:space="preserve"> в первенстве Сахалинской области заняла 3 –е место. </w:t>
      </w:r>
    </w:p>
    <w:p w:rsidR="00A629DB" w:rsidRPr="005B129B" w:rsidRDefault="0090484B" w:rsidP="0090484B">
      <w:pPr>
        <w:spacing w:after="0"/>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В течение года на территории городского округа проводились областные соревнования:</w:t>
      </w:r>
    </w:p>
    <w:p w:rsidR="00A629DB" w:rsidRPr="005B129B" w:rsidRDefault="00A629DB" w:rsidP="0090484B">
      <w:pPr>
        <w:spacing w:after="0"/>
        <w:ind w:firstLine="708"/>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в  Областной турнире по вольной борьбе памяти  тренера-преподавателя Кучерова Михаила Васильевича участвовало 150 чел. из</w:t>
      </w:r>
      <w:r w:rsidR="0090484B">
        <w:rPr>
          <w:rFonts w:ascii="Times New Roman" w:eastAsia="Calibri" w:hAnsi="Times New Roman" w:cs="Times New Roman"/>
          <w:sz w:val="28"/>
          <w:szCs w:val="28"/>
        </w:rPr>
        <w:t xml:space="preserve"> 8 муниципальных образований  (</w:t>
      </w:r>
      <w:r w:rsidRPr="005B129B">
        <w:rPr>
          <w:rFonts w:ascii="Times New Roman" w:eastAsia="Calibri" w:hAnsi="Times New Roman" w:cs="Times New Roman"/>
          <w:sz w:val="28"/>
          <w:szCs w:val="28"/>
        </w:rPr>
        <w:t>г.Оха, п. Тымовское, г. Южно-Сахалинск, г.Анива, г. Невельск, г. Порон</w:t>
      </w:r>
      <w:r w:rsidR="0090484B">
        <w:rPr>
          <w:rFonts w:ascii="Times New Roman" w:eastAsia="Calibri" w:hAnsi="Times New Roman" w:cs="Times New Roman"/>
          <w:sz w:val="28"/>
          <w:szCs w:val="28"/>
        </w:rPr>
        <w:t>айск, г. Шахтерск, п.  Ноглики);</w:t>
      </w:r>
    </w:p>
    <w:p w:rsidR="0090484B" w:rsidRDefault="00A629DB" w:rsidP="0090484B">
      <w:pPr>
        <w:spacing w:after="0"/>
        <w:ind w:firstLine="708"/>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  в </w:t>
      </w:r>
      <w:r w:rsidR="0090484B">
        <w:rPr>
          <w:rFonts w:ascii="Times New Roman" w:eastAsia="Calibri" w:hAnsi="Times New Roman" w:cs="Times New Roman"/>
          <w:sz w:val="28"/>
          <w:szCs w:val="28"/>
        </w:rPr>
        <w:t>Областно</w:t>
      </w:r>
      <w:r w:rsidR="0090484B" w:rsidRPr="005B129B">
        <w:rPr>
          <w:rFonts w:ascii="Times New Roman" w:eastAsia="Calibri" w:hAnsi="Times New Roman" w:cs="Times New Roman"/>
          <w:sz w:val="28"/>
          <w:szCs w:val="28"/>
        </w:rPr>
        <w:t>м</w:t>
      </w:r>
      <w:r w:rsidRPr="005B129B">
        <w:rPr>
          <w:rFonts w:ascii="Times New Roman" w:eastAsia="Calibri" w:hAnsi="Times New Roman" w:cs="Times New Roman"/>
          <w:sz w:val="28"/>
          <w:szCs w:val="28"/>
        </w:rPr>
        <w:t xml:space="preserve"> турнире по футболу на Кубок мэра  принимали участие 6 команд.  </w:t>
      </w:r>
    </w:p>
    <w:p w:rsidR="00A629DB" w:rsidRPr="005B129B" w:rsidRDefault="00A629DB" w:rsidP="0090484B">
      <w:pPr>
        <w:spacing w:after="0"/>
        <w:ind w:firstLine="708"/>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Так же были проведены</w:t>
      </w:r>
      <w:r w:rsidR="0090484B">
        <w:rPr>
          <w:rFonts w:ascii="Times New Roman" w:eastAsia="Calibri" w:hAnsi="Times New Roman" w:cs="Times New Roman"/>
          <w:sz w:val="28"/>
          <w:szCs w:val="28"/>
        </w:rPr>
        <w:t>:</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 - Турнир по волейболу «Кому 50 и старше»;</w:t>
      </w:r>
    </w:p>
    <w:p w:rsidR="00A629DB" w:rsidRPr="005B129B" w:rsidRDefault="00A629DB" w:rsidP="005B129B">
      <w:pPr>
        <w:spacing w:after="0"/>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Чемпионат Сахалинской области по футболу;</w:t>
      </w:r>
    </w:p>
    <w:p w:rsidR="00A629DB" w:rsidRPr="005B129B" w:rsidRDefault="0090484B" w:rsidP="005B129B">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tab/>
        <w:t xml:space="preserve">В </w:t>
      </w:r>
      <w:r w:rsidR="00A629DB" w:rsidRPr="005B129B">
        <w:rPr>
          <w:rFonts w:ascii="Times New Roman" w:eastAsia="Calibri" w:hAnsi="Times New Roman" w:cs="Times New Roman"/>
          <w:sz w:val="28"/>
          <w:szCs w:val="28"/>
        </w:rPr>
        <w:t>Пе</w:t>
      </w:r>
      <w:r>
        <w:rPr>
          <w:rFonts w:ascii="Times New Roman" w:eastAsia="Calibri" w:hAnsi="Times New Roman" w:cs="Times New Roman"/>
          <w:sz w:val="28"/>
          <w:szCs w:val="28"/>
        </w:rPr>
        <w:t>рвенстве</w:t>
      </w:r>
      <w:r w:rsidR="00A629DB" w:rsidRPr="005B129B">
        <w:rPr>
          <w:rFonts w:ascii="Times New Roman" w:eastAsia="Calibri" w:hAnsi="Times New Roman" w:cs="Times New Roman"/>
          <w:sz w:val="28"/>
          <w:szCs w:val="28"/>
        </w:rPr>
        <w:t xml:space="preserve"> России, зона «Дальний Восток» третья лига, коман</w:t>
      </w:r>
      <w:r>
        <w:rPr>
          <w:rFonts w:ascii="Times New Roman" w:eastAsia="Calibri" w:hAnsi="Times New Roman" w:cs="Times New Roman"/>
          <w:sz w:val="28"/>
          <w:szCs w:val="28"/>
        </w:rPr>
        <w:t xml:space="preserve">да Футбольный клуб «Ноглики» </w:t>
      </w:r>
      <w:r w:rsidR="00A629DB" w:rsidRPr="005B129B">
        <w:rPr>
          <w:rFonts w:ascii="Times New Roman" w:eastAsia="Calibri" w:hAnsi="Times New Roman" w:cs="Times New Roman"/>
          <w:sz w:val="28"/>
          <w:szCs w:val="28"/>
        </w:rPr>
        <w:t>стала чемпионом Сахалинской области, обладателем кубка Сахалинской области и заняла третье место в первенстве России.</w:t>
      </w:r>
    </w:p>
    <w:p w:rsidR="00A629DB" w:rsidRPr="005B129B" w:rsidRDefault="0090484B" w:rsidP="005B129B">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tab/>
      </w:r>
      <w:r w:rsidR="00A629DB" w:rsidRPr="005B129B">
        <w:rPr>
          <w:rFonts w:ascii="Times New Roman" w:eastAsia="Calibri" w:hAnsi="Times New Roman" w:cs="Times New Roman"/>
          <w:sz w:val="28"/>
          <w:szCs w:val="28"/>
        </w:rPr>
        <w:t xml:space="preserve"> Хоккейная команда «Северная звезда» стала чемпионом НХЛ (ночная хоккейная лига) и завоевала право представлять Сахалинскую область в г. Сочи.</w:t>
      </w:r>
    </w:p>
    <w:p w:rsidR="00A629DB" w:rsidRPr="005B129B" w:rsidRDefault="0090484B" w:rsidP="005B129B">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Отличились </w:t>
      </w:r>
      <w:r w:rsidR="00A629DB" w:rsidRPr="005B129B">
        <w:rPr>
          <w:rFonts w:ascii="Times New Roman" w:eastAsia="Calibri" w:hAnsi="Times New Roman" w:cs="Times New Roman"/>
          <w:sz w:val="28"/>
          <w:szCs w:val="28"/>
        </w:rPr>
        <w:t xml:space="preserve"> взрослые спортсмены:</w:t>
      </w:r>
    </w:p>
    <w:p w:rsidR="00A629DB" w:rsidRPr="005B129B" w:rsidRDefault="00A629DB" w:rsidP="005B129B">
      <w:pPr>
        <w:spacing w:after="0"/>
        <w:ind w:firstLine="851"/>
        <w:jc w:val="both"/>
        <w:rPr>
          <w:rFonts w:ascii="Times New Roman" w:eastAsia="Calibri" w:hAnsi="Times New Roman" w:cs="Times New Roman"/>
          <w:color w:val="000000"/>
          <w:sz w:val="28"/>
          <w:szCs w:val="28"/>
        </w:rPr>
      </w:pPr>
      <w:r w:rsidRPr="005B129B">
        <w:rPr>
          <w:rFonts w:ascii="Times New Roman" w:eastAsia="Calibri" w:hAnsi="Times New Roman" w:cs="Times New Roman"/>
          <w:color w:val="000000"/>
          <w:sz w:val="28"/>
          <w:szCs w:val="28"/>
        </w:rPr>
        <w:t>-Виталий Столбовой выиграл первенство области и стал чемпионом на международном турнире в г. Санкт – Петербурге;</w:t>
      </w:r>
    </w:p>
    <w:p w:rsidR="00A629DB" w:rsidRPr="005B129B" w:rsidRDefault="00A629DB" w:rsidP="005B129B">
      <w:pPr>
        <w:spacing w:after="0"/>
        <w:ind w:firstLine="851"/>
        <w:jc w:val="both"/>
        <w:rPr>
          <w:rFonts w:ascii="Times New Roman" w:eastAsia="Calibri" w:hAnsi="Times New Roman" w:cs="Times New Roman"/>
          <w:color w:val="000000"/>
          <w:sz w:val="28"/>
          <w:szCs w:val="28"/>
        </w:rPr>
      </w:pPr>
      <w:r w:rsidRPr="005B129B">
        <w:rPr>
          <w:rFonts w:ascii="Times New Roman" w:eastAsia="Calibri" w:hAnsi="Times New Roman" w:cs="Times New Roman"/>
          <w:color w:val="000000"/>
          <w:sz w:val="28"/>
          <w:szCs w:val="28"/>
        </w:rPr>
        <w:t>- Кирилл Митрофанкин</w:t>
      </w:r>
      <w:r w:rsidR="0090484B">
        <w:rPr>
          <w:rFonts w:ascii="Times New Roman" w:eastAsia="Calibri" w:hAnsi="Times New Roman" w:cs="Times New Roman"/>
          <w:color w:val="000000"/>
          <w:sz w:val="28"/>
          <w:szCs w:val="28"/>
        </w:rPr>
        <w:t xml:space="preserve"> -</w:t>
      </w:r>
      <w:r w:rsidRPr="005B129B">
        <w:rPr>
          <w:rFonts w:ascii="Times New Roman" w:eastAsia="Calibri" w:hAnsi="Times New Roman" w:cs="Times New Roman"/>
          <w:color w:val="000000"/>
          <w:sz w:val="28"/>
          <w:szCs w:val="28"/>
        </w:rPr>
        <w:t xml:space="preserve"> стал  чемпион области по спортивному пейнтболу;</w:t>
      </w:r>
    </w:p>
    <w:p w:rsidR="00A629DB" w:rsidRPr="005B129B" w:rsidRDefault="00A629DB" w:rsidP="005B129B">
      <w:pPr>
        <w:spacing w:after="0"/>
        <w:ind w:firstLine="851"/>
        <w:jc w:val="both"/>
        <w:rPr>
          <w:rFonts w:ascii="Times New Roman" w:eastAsia="Calibri" w:hAnsi="Times New Roman" w:cs="Times New Roman"/>
          <w:color w:val="000000"/>
          <w:sz w:val="28"/>
          <w:szCs w:val="28"/>
        </w:rPr>
      </w:pPr>
      <w:r w:rsidRPr="005B129B">
        <w:rPr>
          <w:rFonts w:ascii="Times New Roman" w:eastAsia="Calibri" w:hAnsi="Times New Roman" w:cs="Times New Roman"/>
          <w:color w:val="000000"/>
          <w:sz w:val="28"/>
          <w:szCs w:val="28"/>
        </w:rPr>
        <w:t>- Виталий Лобышев  -</w:t>
      </w:r>
      <w:r w:rsidR="0090484B">
        <w:rPr>
          <w:rFonts w:ascii="Times New Roman" w:eastAsia="Calibri" w:hAnsi="Times New Roman" w:cs="Times New Roman"/>
          <w:color w:val="000000"/>
          <w:sz w:val="28"/>
          <w:szCs w:val="28"/>
        </w:rPr>
        <w:t xml:space="preserve"> </w:t>
      </w:r>
      <w:r w:rsidRPr="005B129B">
        <w:rPr>
          <w:rFonts w:ascii="Times New Roman" w:eastAsia="Calibri" w:hAnsi="Times New Roman" w:cs="Times New Roman"/>
          <w:color w:val="000000"/>
          <w:sz w:val="28"/>
          <w:szCs w:val="28"/>
        </w:rPr>
        <w:t>чемпионом областного турнира по лыжным гонкам.</w:t>
      </w:r>
    </w:p>
    <w:p w:rsidR="00A629DB" w:rsidRPr="005B129B" w:rsidRDefault="00A629DB" w:rsidP="005B129B">
      <w:pPr>
        <w:spacing w:after="0"/>
        <w:ind w:firstLine="567"/>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В 2015 году Команда спортсменов с ограниченными возможностями принимала участие в одиннадцатой  спартакиаде среди инвалидов Сахалинской области, где из 14 команд (не смотря на малый состав -5 человек) заняла 9 место. Спортсмены  стали  чемпионами и призерами в беге на </w:t>
      </w:r>
      <w:smartTag w:uri="urn:schemas-microsoft-com:office:smarttags" w:element="metricconverter">
        <w:smartTagPr>
          <w:attr w:name="ProductID" w:val="100 м"/>
        </w:smartTagPr>
        <w:r w:rsidRPr="005B129B">
          <w:rPr>
            <w:rFonts w:ascii="Times New Roman" w:eastAsia="Calibri" w:hAnsi="Times New Roman" w:cs="Times New Roman"/>
            <w:sz w:val="28"/>
            <w:szCs w:val="28"/>
          </w:rPr>
          <w:t>100 м</w:t>
        </w:r>
      </w:smartTag>
      <w:r w:rsidRPr="005B129B">
        <w:rPr>
          <w:rFonts w:ascii="Times New Roman" w:eastAsia="Calibri" w:hAnsi="Times New Roman" w:cs="Times New Roman"/>
          <w:sz w:val="28"/>
          <w:szCs w:val="28"/>
        </w:rPr>
        <w:t xml:space="preserve">, прыжках в длину, толкании ядра, пулевой стрельбе, настольном теннисе и дартсу. </w:t>
      </w:r>
    </w:p>
    <w:p w:rsidR="00A629DB" w:rsidRPr="005B129B" w:rsidRDefault="00A629DB" w:rsidP="005B129B">
      <w:pPr>
        <w:spacing w:after="0"/>
        <w:ind w:firstLine="567"/>
        <w:jc w:val="both"/>
        <w:rPr>
          <w:rFonts w:ascii="Times New Roman" w:eastAsia="Calibri" w:hAnsi="Times New Roman" w:cs="Times New Roman"/>
          <w:sz w:val="28"/>
          <w:szCs w:val="28"/>
        </w:rPr>
      </w:pPr>
      <w:r w:rsidRPr="005B129B">
        <w:rPr>
          <w:rFonts w:ascii="Times New Roman" w:eastAsia="Calibri" w:hAnsi="Times New Roman" w:cs="Times New Roman"/>
          <w:sz w:val="28"/>
          <w:szCs w:val="28"/>
        </w:rPr>
        <w:t xml:space="preserve">Подведены итоги 9 – ой спартакиады среди предприятий,  организаций и учреждений МО «Городской округ Ногликский» в которой принимало участие 10  команд по 8 видам спорта (волейбол, стрельба, настольный теннис, лыжные гонки, легкая атлетика, шахматы, мини – футбол, бильярд). </w:t>
      </w:r>
    </w:p>
    <w:p w:rsidR="0090484B" w:rsidRDefault="00A629DB" w:rsidP="00A629DB">
      <w:pPr>
        <w:pStyle w:val="ListParagraph"/>
        <w:spacing w:after="0" w:line="240" w:lineRule="auto"/>
        <w:ind w:left="540"/>
        <w:rPr>
          <w:rStyle w:val="apple-converted-space"/>
          <w:color w:val="333333"/>
          <w:sz w:val="21"/>
          <w:szCs w:val="21"/>
        </w:rPr>
      </w:pPr>
      <w:r w:rsidRPr="0090484B">
        <w:rPr>
          <w:rStyle w:val="apple-converted-space"/>
          <w:color w:val="333333"/>
          <w:sz w:val="21"/>
          <w:szCs w:val="21"/>
        </w:rPr>
        <w:t xml:space="preserve">  </w:t>
      </w:r>
    </w:p>
    <w:p w:rsidR="00A629DB" w:rsidRPr="0090484B" w:rsidRDefault="00A629DB" w:rsidP="0090484B">
      <w:pPr>
        <w:pStyle w:val="ListParagraph"/>
        <w:spacing w:after="0" w:line="240" w:lineRule="auto"/>
        <w:ind w:left="540"/>
        <w:rPr>
          <w:rFonts w:ascii="Times New Roman" w:hAnsi="Times New Roman"/>
          <w:b/>
          <w:i/>
          <w:sz w:val="28"/>
          <w:szCs w:val="28"/>
        </w:rPr>
      </w:pPr>
      <w:r w:rsidRPr="0090484B">
        <w:rPr>
          <w:rStyle w:val="apple-converted-space"/>
          <w:rFonts w:ascii="Times New Roman" w:hAnsi="Times New Roman"/>
          <w:b/>
          <w:i/>
          <w:color w:val="333333"/>
          <w:sz w:val="28"/>
          <w:szCs w:val="28"/>
        </w:rPr>
        <w:t>Молодежная политика</w:t>
      </w:r>
    </w:p>
    <w:p w:rsidR="00A629DB" w:rsidRPr="0090484B" w:rsidRDefault="00A629DB" w:rsidP="0090484B">
      <w:pPr>
        <w:spacing w:after="0"/>
        <w:ind w:firstLine="54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xml:space="preserve">Молодежная политика в муниципальном образовании «Городской округ Ногликский» ориентирована на максимальное включение молодежи в социальную жизнь округа, на создание условий и возможностей для решения молодежных  проблем. </w:t>
      </w:r>
    </w:p>
    <w:p w:rsidR="00A629DB" w:rsidRPr="0090484B" w:rsidRDefault="00A629DB" w:rsidP="0090484B">
      <w:pPr>
        <w:spacing w:after="0"/>
        <w:ind w:firstLine="708"/>
        <w:jc w:val="both"/>
        <w:rPr>
          <w:rFonts w:ascii="Times New Roman" w:eastAsia="Calibri" w:hAnsi="Times New Roman" w:cs="Times New Roman"/>
          <w:bCs/>
          <w:sz w:val="28"/>
          <w:szCs w:val="28"/>
        </w:rPr>
      </w:pPr>
      <w:r w:rsidRPr="0090484B">
        <w:rPr>
          <w:rFonts w:ascii="Times New Roman" w:eastAsia="Calibri" w:hAnsi="Times New Roman" w:cs="Times New Roman"/>
          <w:sz w:val="28"/>
          <w:szCs w:val="28"/>
        </w:rPr>
        <w:t xml:space="preserve">Основными задачами в работе с молодежью в муниципальном образовании «Городской  округ Ногликский» являются: </w:t>
      </w:r>
    </w:p>
    <w:p w:rsidR="00A629DB" w:rsidRPr="0090484B" w:rsidRDefault="00A629DB" w:rsidP="0090484B">
      <w:pPr>
        <w:spacing w:after="0"/>
        <w:rPr>
          <w:rFonts w:ascii="Times New Roman" w:eastAsia="Calibri" w:hAnsi="Times New Roman" w:cs="Times New Roman"/>
          <w:sz w:val="28"/>
          <w:szCs w:val="28"/>
        </w:rPr>
      </w:pPr>
      <w:r w:rsidRPr="0090484B">
        <w:rPr>
          <w:rFonts w:ascii="Times New Roman" w:eastAsia="Calibri" w:hAnsi="Times New Roman" w:cs="Times New Roman"/>
          <w:bCs/>
          <w:sz w:val="28"/>
          <w:szCs w:val="28"/>
        </w:rPr>
        <w:t>– развитие гражданственности и патриотизма;</w:t>
      </w:r>
    </w:p>
    <w:p w:rsidR="00A629DB" w:rsidRPr="0090484B" w:rsidRDefault="00A629DB" w:rsidP="0090484B">
      <w:pPr>
        <w:spacing w:after="0"/>
        <w:rPr>
          <w:rFonts w:ascii="Times New Roman" w:eastAsia="Calibri" w:hAnsi="Times New Roman" w:cs="Times New Roman"/>
          <w:sz w:val="28"/>
          <w:szCs w:val="28"/>
        </w:rPr>
      </w:pPr>
      <w:r w:rsidRPr="0090484B">
        <w:rPr>
          <w:rFonts w:ascii="Times New Roman" w:eastAsia="Calibri" w:hAnsi="Times New Roman" w:cs="Times New Roman"/>
          <w:bCs/>
          <w:sz w:val="28"/>
          <w:szCs w:val="28"/>
        </w:rPr>
        <w:t>– пропаганда здорового образа жизни;</w:t>
      </w:r>
    </w:p>
    <w:p w:rsidR="00A629DB" w:rsidRPr="0090484B" w:rsidRDefault="00A629DB" w:rsidP="0090484B">
      <w:pPr>
        <w:spacing w:after="0"/>
        <w:rPr>
          <w:rFonts w:ascii="Times New Roman" w:eastAsia="Calibri" w:hAnsi="Times New Roman" w:cs="Times New Roman"/>
          <w:sz w:val="28"/>
          <w:szCs w:val="28"/>
        </w:rPr>
      </w:pPr>
      <w:r w:rsidRPr="0090484B">
        <w:rPr>
          <w:rFonts w:ascii="Times New Roman" w:eastAsia="Calibri" w:hAnsi="Times New Roman" w:cs="Times New Roman"/>
          <w:bCs/>
          <w:sz w:val="28"/>
          <w:szCs w:val="28"/>
        </w:rPr>
        <w:t>– решение проблем трудовой занятости и социальной защиты молодежи;</w:t>
      </w:r>
    </w:p>
    <w:p w:rsidR="00A629DB" w:rsidRPr="0090484B" w:rsidRDefault="00A629DB" w:rsidP="0090484B">
      <w:pPr>
        <w:spacing w:after="0"/>
        <w:rPr>
          <w:rFonts w:ascii="Times New Roman" w:eastAsia="Calibri" w:hAnsi="Times New Roman" w:cs="Times New Roman"/>
          <w:sz w:val="28"/>
          <w:szCs w:val="28"/>
        </w:rPr>
      </w:pPr>
      <w:r w:rsidRPr="0090484B">
        <w:rPr>
          <w:rFonts w:ascii="Times New Roman" w:eastAsia="Calibri" w:hAnsi="Times New Roman" w:cs="Times New Roman"/>
          <w:bCs/>
          <w:sz w:val="28"/>
          <w:szCs w:val="28"/>
        </w:rPr>
        <w:t>– поддержка молодых семей в решении жилищных проблем;</w:t>
      </w:r>
    </w:p>
    <w:p w:rsidR="00A629DB" w:rsidRPr="0090484B" w:rsidRDefault="00A629DB" w:rsidP="0090484B">
      <w:pPr>
        <w:spacing w:after="0"/>
        <w:rPr>
          <w:rFonts w:ascii="Times New Roman" w:eastAsia="Calibri" w:hAnsi="Times New Roman" w:cs="Times New Roman"/>
          <w:bCs/>
          <w:sz w:val="28"/>
          <w:szCs w:val="28"/>
        </w:rPr>
      </w:pPr>
      <w:r w:rsidRPr="0090484B">
        <w:rPr>
          <w:rFonts w:ascii="Times New Roman" w:eastAsia="Calibri" w:hAnsi="Times New Roman" w:cs="Times New Roman"/>
          <w:bCs/>
          <w:sz w:val="28"/>
          <w:szCs w:val="28"/>
        </w:rPr>
        <w:t>– профилактика социально-негативных явлений среди несовершеннолетних</w:t>
      </w:r>
    </w:p>
    <w:p w:rsidR="00A629DB" w:rsidRPr="0090484B" w:rsidRDefault="00A629DB" w:rsidP="0090484B">
      <w:pPr>
        <w:spacing w:after="0"/>
        <w:rPr>
          <w:rFonts w:ascii="Times New Roman" w:eastAsia="Calibri" w:hAnsi="Times New Roman" w:cs="Times New Roman"/>
          <w:bCs/>
          <w:sz w:val="28"/>
          <w:szCs w:val="28"/>
        </w:rPr>
      </w:pPr>
      <w:r w:rsidRPr="0090484B">
        <w:rPr>
          <w:rFonts w:ascii="Times New Roman" w:eastAsia="Calibri" w:hAnsi="Times New Roman" w:cs="Times New Roman"/>
          <w:bCs/>
          <w:sz w:val="28"/>
          <w:szCs w:val="28"/>
        </w:rPr>
        <w:t xml:space="preserve"> и молодежи; </w:t>
      </w:r>
    </w:p>
    <w:p w:rsidR="00A629DB" w:rsidRPr="0090484B" w:rsidRDefault="00A629DB" w:rsidP="0090484B">
      <w:pPr>
        <w:spacing w:after="0"/>
        <w:rPr>
          <w:rFonts w:ascii="Times New Roman" w:eastAsia="Calibri" w:hAnsi="Times New Roman" w:cs="Times New Roman"/>
          <w:sz w:val="28"/>
          <w:szCs w:val="28"/>
        </w:rPr>
      </w:pPr>
      <w:r w:rsidRPr="0090484B">
        <w:rPr>
          <w:rFonts w:ascii="Times New Roman" w:eastAsia="Calibri" w:hAnsi="Times New Roman" w:cs="Times New Roman"/>
          <w:bCs/>
          <w:sz w:val="28"/>
          <w:szCs w:val="28"/>
        </w:rPr>
        <w:t>–  поддержка эффективного взаимодействия с молодежными объединениями округа.</w:t>
      </w:r>
    </w:p>
    <w:p w:rsidR="00A629DB" w:rsidRPr="0090484B" w:rsidRDefault="0090484B" w:rsidP="0090484B">
      <w:pPr>
        <w:spacing w:after="0"/>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В течение 2015 года работа осуществлялась</w:t>
      </w:r>
      <w:r w:rsidR="00A629DB" w:rsidRPr="0090484B">
        <w:rPr>
          <w:rFonts w:ascii="Times New Roman" w:eastAsia="Calibri" w:hAnsi="Times New Roman" w:cs="Times New Roman"/>
          <w:sz w:val="28"/>
          <w:szCs w:val="28"/>
        </w:rPr>
        <w:t xml:space="preserve"> в  тесном взаимодействии с  учреждениями, занимающимися решением социальных вопросов в области молодежной политики – это </w:t>
      </w:r>
      <w:r>
        <w:rPr>
          <w:rFonts w:ascii="Times New Roman" w:eastAsia="Calibri" w:hAnsi="Times New Roman" w:cs="Times New Roman"/>
          <w:sz w:val="28"/>
          <w:szCs w:val="28"/>
        </w:rPr>
        <w:t xml:space="preserve">отдел культуры, спорта и молодежной политики, </w:t>
      </w:r>
      <w:r w:rsidR="00A629DB" w:rsidRPr="0090484B">
        <w:rPr>
          <w:rFonts w:ascii="Times New Roman" w:eastAsia="Calibri" w:hAnsi="Times New Roman" w:cs="Times New Roman"/>
          <w:sz w:val="28"/>
          <w:szCs w:val="28"/>
        </w:rPr>
        <w:t xml:space="preserve">отдел образования, </w:t>
      </w:r>
      <w:r>
        <w:rPr>
          <w:rFonts w:ascii="Times New Roman" w:eastAsia="Calibri" w:hAnsi="Times New Roman" w:cs="Times New Roman"/>
          <w:sz w:val="28"/>
          <w:szCs w:val="28"/>
        </w:rPr>
        <w:t>Ногликская центральная районная больница</w:t>
      </w:r>
      <w:r w:rsidR="00A629DB" w:rsidRPr="0090484B">
        <w:rPr>
          <w:rFonts w:ascii="Times New Roman" w:eastAsia="Calibri" w:hAnsi="Times New Roman" w:cs="Times New Roman"/>
          <w:sz w:val="28"/>
          <w:szCs w:val="28"/>
        </w:rPr>
        <w:t xml:space="preserve">, комиссия по делам несовершеннолетних, центр занятости населения,  военный </w:t>
      </w:r>
      <w:r w:rsidR="00A629DB" w:rsidRPr="0090484B">
        <w:rPr>
          <w:rFonts w:ascii="Times New Roman" w:eastAsia="Calibri" w:hAnsi="Times New Roman" w:cs="Times New Roman"/>
          <w:sz w:val="28"/>
          <w:szCs w:val="28"/>
        </w:rPr>
        <w:lastRenderedPageBreak/>
        <w:t xml:space="preserve">комиссариат, правоохранительные органы, культурно-просветительные и досуговые учреждения района. В течение года  проведен ряд мероприятий: </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спортивный турнир дворовый команд по футболу (хоккею) в рамках областного проекта «Спорт против подворотни» на приз «Кожаный мяч», «Полиция и дети», «Безопасный двор», «Новогодняя Лыжня», турнир по хоккею памяти В. Дунешенко, турнир по футболу памяти тренера преподавателя Е.В Кравченко  (</w:t>
      </w:r>
      <w:r w:rsidR="0090484B">
        <w:rPr>
          <w:rFonts w:ascii="Times New Roman" w:eastAsia="Calibri" w:hAnsi="Times New Roman" w:cs="Times New Roman"/>
          <w:sz w:val="28"/>
          <w:szCs w:val="28"/>
        </w:rPr>
        <w:t xml:space="preserve">участвовало </w:t>
      </w:r>
      <w:r w:rsidRPr="0090484B">
        <w:rPr>
          <w:rFonts w:ascii="Times New Roman" w:eastAsia="Calibri" w:hAnsi="Times New Roman" w:cs="Times New Roman"/>
          <w:sz w:val="28"/>
          <w:szCs w:val="28"/>
        </w:rPr>
        <w:t xml:space="preserve"> 620 человек);</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уличные акции «Скажи твердо – наркотикам нет!», «Я выбираю здоровье», «Займись спортом, стань первым!», «Не отнимай у себя завтра» (</w:t>
      </w:r>
      <w:r w:rsidR="0076495D">
        <w:rPr>
          <w:rFonts w:ascii="Times New Roman" w:eastAsia="Calibri" w:hAnsi="Times New Roman" w:cs="Times New Roman"/>
          <w:sz w:val="28"/>
          <w:szCs w:val="28"/>
        </w:rPr>
        <w:t xml:space="preserve">количество участников </w:t>
      </w:r>
      <w:r w:rsidRPr="0090484B">
        <w:rPr>
          <w:rFonts w:ascii="Times New Roman" w:eastAsia="Calibri" w:hAnsi="Times New Roman" w:cs="Times New Roman"/>
          <w:sz w:val="28"/>
          <w:szCs w:val="28"/>
        </w:rPr>
        <w:t xml:space="preserve"> –  400 человек); </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конкурсы детского рисунка «Брось сигарету», «Пиво враг молодежи» (в течение года 450  человек);</w:t>
      </w:r>
    </w:p>
    <w:p w:rsidR="00A629DB" w:rsidRPr="0090484B" w:rsidRDefault="00A629DB" w:rsidP="0090484B">
      <w:pPr>
        <w:spacing w:after="0"/>
        <w:ind w:firstLine="708"/>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В 2015 году организовано 59 мероприятий  направленных на патриотическое воспитание молодого поколения, из них:</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районный месячник, посвященный гражданско-патриотическому воспитанию, в раках которого прошла интеллектуальная игра среди предприятий и организаций Ногликского района «Логос» – «Ни кто не забыт и ни что не забыто»;</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молодежные акции – «Я помню, я горжусь», «Георгиевская лента», «Бессмертная рота», «Свеча Памяти», «Аллея Славы»;</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конкурс семейный проектов «Лента времени», Фотоквест «Семья в куче не страшны и тучи»;</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xml:space="preserve">– митинги посвященные памятным датам – «70-летия Победы в Великой Отечественной Войне», «День Памяти и скорби», «Освобождение Южного Сахалина и Курильских островов от </w:t>
      </w:r>
      <w:r w:rsidRPr="0090484B">
        <w:rPr>
          <w:rFonts w:ascii="Times New Roman" w:eastAsia="Calibri" w:hAnsi="Times New Roman" w:cs="Times New Roman"/>
          <w:color w:val="333333"/>
          <w:sz w:val="28"/>
          <w:szCs w:val="28"/>
        </w:rPr>
        <w:t>японских милитаристов</w:t>
      </w:r>
      <w:r w:rsidRPr="0090484B">
        <w:rPr>
          <w:rFonts w:ascii="Times New Roman" w:eastAsia="Calibri" w:hAnsi="Times New Roman" w:cs="Times New Roman"/>
          <w:sz w:val="28"/>
          <w:szCs w:val="28"/>
        </w:rPr>
        <w:t>»;</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форумы «Молодые Ноглики», «Ноглики – место роста».</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ab/>
        <w:t xml:space="preserve">Трудовой занятостью в 2015 году охвачено 289  подростка. </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xml:space="preserve">На оплату труда использованы средства </w:t>
      </w:r>
      <w:r w:rsidR="0076495D">
        <w:rPr>
          <w:rFonts w:ascii="Times New Roman" w:eastAsia="Calibri" w:hAnsi="Times New Roman" w:cs="Times New Roman"/>
          <w:sz w:val="28"/>
          <w:szCs w:val="28"/>
        </w:rPr>
        <w:t xml:space="preserve">областного и местного бюджетов в размере  612,6 тыс. рублей, а также </w:t>
      </w:r>
      <w:r w:rsidRPr="0090484B">
        <w:rPr>
          <w:rFonts w:ascii="Times New Roman" w:eastAsia="Calibri" w:hAnsi="Times New Roman" w:cs="Times New Roman"/>
          <w:sz w:val="28"/>
          <w:szCs w:val="28"/>
        </w:rPr>
        <w:t>средства работодателей –1 044 тыс. рублей.</w:t>
      </w:r>
    </w:p>
    <w:p w:rsidR="00A629DB" w:rsidRPr="0090484B" w:rsidRDefault="00A629DB" w:rsidP="0090484B">
      <w:pPr>
        <w:spacing w:after="0"/>
        <w:ind w:firstLine="708"/>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xml:space="preserve"> На реализацию мероприятий муниципальной программы «Обеспечение жильем молодых семей муниципального образования «Городской округ Ногликский» на 2007 –2015 годы»  в 2015 году  выделено 1824 тыс. руб., </w:t>
      </w:r>
      <w:r w:rsidR="0076495D">
        <w:rPr>
          <w:rFonts w:ascii="Times New Roman" w:eastAsia="Calibri" w:hAnsi="Times New Roman" w:cs="Times New Roman"/>
          <w:sz w:val="28"/>
          <w:szCs w:val="28"/>
        </w:rPr>
        <w:t>бюджетных средств</w:t>
      </w:r>
      <w:r w:rsidRPr="0090484B">
        <w:rPr>
          <w:rFonts w:ascii="Times New Roman" w:eastAsia="Calibri" w:hAnsi="Times New Roman" w:cs="Times New Roman"/>
          <w:sz w:val="28"/>
          <w:szCs w:val="28"/>
        </w:rPr>
        <w:t>,</w:t>
      </w:r>
      <w:r w:rsidR="0076495D">
        <w:rPr>
          <w:rFonts w:ascii="Times New Roman" w:eastAsia="Calibri" w:hAnsi="Times New Roman" w:cs="Times New Roman"/>
          <w:sz w:val="28"/>
          <w:szCs w:val="28"/>
        </w:rPr>
        <w:t xml:space="preserve"> на которые </w:t>
      </w:r>
      <w:r w:rsidRPr="0090484B">
        <w:rPr>
          <w:rFonts w:ascii="Times New Roman" w:eastAsia="Calibri" w:hAnsi="Times New Roman" w:cs="Times New Roman"/>
          <w:sz w:val="28"/>
          <w:szCs w:val="28"/>
        </w:rPr>
        <w:t xml:space="preserve"> улучшили жилищные условия 2 семьи, из них: 1 неполная семья и 1 многодетная.</w:t>
      </w:r>
    </w:p>
    <w:p w:rsidR="00A629DB" w:rsidRPr="0090484B" w:rsidRDefault="00A629DB" w:rsidP="0090484B">
      <w:pPr>
        <w:spacing w:after="0"/>
        <w:jc w:val="both"/>
        <w:rPr>
          <w:rFonts w:ascii="Times New Roman" w:eastAsia="Calibri" w:hAnsi="Times New Roman" w:cs="Times New Roman"/>
          <w:sz w:val="28"/>
          <w:szCs w:val="28"/>
        </w:rPr>
      </w:pPr>
      <w:r w:rsidRPr="0090484B">
        <w:rPr>
          <w:rFonts w:ascii="Times New Roman" w:eastAsia="Calibri" w:hAnsi="Times New Roman" w:cs="Times New Roman"/>
          <w:sz w:val="28"/>
          <w:szCs w:val="28"/>
        </w:rPr>
        <w:t xml:space="preserve">          </w:t>
      </w:r>
    </w:p>
    <w:p w:rsidR="001C69FF" w:rsidRPr="001C69FF" w:rsidRDefault="001C69FF" w:rsidP="001C69FF">
      <w:pPr>
        <w:spacing w:after="0" w:line="240" w:lineRule="auto"/>
        <w:ind w:firstLine="708"/>
        <w:rPr>
          <w:rFonts w:ascii="Times New Roman" w:hAnsi="Times New Roman"/>
          <w:b/>
          <w:sz w:val="28"/>
          <w:szCs w:val="28"/>
        </w:rPr>
      </w:pPr>
      <w:r w:rsidRPr="001C69FF">
        <w:rPr>
          <w:rFonts w:ascii="Times New Roman" w:hAnsi="Times New Roman"/>
          <w:b/>
          <w:sz w:val="28"/>
          <w:szCs w:val="28"/>
        </w:rPr>
        <w:t>Социальная защита и социальное обеспечение населения</w:t>
      </w:r>
    </w:p>
    <w:p w:rsidR="001C69FF" w:rsidRPr="000326BF" w:rsidRDefault="001C69FF" w:rsidP="001C69FF">
      <w:pPr>
        <w:spacing w:after="0" w:line="240" w:lineRule="auto"/>
        <w:ind w:firstLine="708"/>
        <w:jc w:val="both"/>
        <w:rPr>
          <w:rFonts w:ascii="Times New Roman" w:hAnsi="Times New Roman"/>
          <w:sz w:val="28"/>
          <w:szCs w:val="28"/>
        </w:rPr>
      </w:pPr>
      <w:r w:rsidRPr="00923B25">
        <w:rPr>
          <w:rFonts w:ascii="Times New Roman" w:hAnsi="Times New Roman"/>
          <w:sz w:val="28"/>
          <w:szCs w:val="28"/>
        </w:rPr>
        <w:t xml:space="preserve">В городском округе, в отделе по Ногликскому району Центра социальной поддержки Сахалинской области, получили социальную </w:t>
      </w:r>
      <w:r w:rsidRPr="00923B25">
        <w:rPr>
          <w:rFonts w:ascii="Times New Roman" w:hAnsi="Times New Roman"/>
          <w:sz w:val="28"/>
          <w:szCs w:val="28"/>
        </w:rPr>
        <w:lastRenderedPageBreak/>
        <w:t>поддержку 6281 человек (2014 г. - 4672).</w:t>
      </w:r>
      <w:r>
        <w:rPr>
          <w:rFonts w:ascii="Times New Roman" w:hAnsi="Times New Roman"/>
          <w:sz w:val="28"/>
          <w:szCs w:val="28"/>
        </w:rPr>
        <w:t xml:space="preserve">  То есть каждый второй гражданин в округе воспользовался социальными выплатами.  </w:t>
      </w:r>
      <w:r w:rsidRPr="000326BF">
        <w:rPr>
          <w:rFonts w:ascii="Times New Roman" w:hAnsi="Times New Roman"/>
          <w:sz w:val="28"/>
          <w:szCs w:val="28"/>
        </w:rPr>
        <w:t xml:space="preserve"> Количество граждан выросло за счет расширения перечня видов поддержки.   На сегодняшний день федеральных и</w:t>
      </w:r>
      <w:r>
        <w:rPr>
          <w:rFonts w:ascii="Times New Roman" w:hAnsi="Times New Roman"/>
          <w:sz w:val="28"/>
          <w:szCs w:val="28"/>
        </w:rPr>
        <w:t xml:space="preserve"> региональных социальных выплат  </w:t>
      </w:r>
      <w:r w:rsidRPr="000326BF">
        <w:rPr>
          <w:rFonts w:ascii="Times New Roman" w:hAnsi="Times New Roman"/>
          <w:sz w:val="28"/>
          <w:szCs w:val="28"/>
        </w:rPr>
        <w:t>насчитывается  91 вид</w:t>
      </w:r>
      <w:r>
        <w:rPr>
          <w:rFonts w:ascii="Times New Roman" w:hAnsi="Times New Roman"/>
          <w:sz w:val="28"/>
          <w:szCs w:val="28"/>
        </w:rPr>
        <w:t>.</w:t>
      </w:r>
    </w:p>
    <w:p w:rsidR="001C69FF" w:rsidRPr="000326BF" w:rsidRDefault="001C69FF" w:rsidP="001C69FF">
      <w:pPr>
        <w:spacing w:after="0" w:line="240" w:lineRule="auto"/>
        <w:ind w:firstLine="708"/>
        <w:jc w:val="both"/>
        <w:rPr>
          <w:rFonts w:ascii="Times New Roman" w:hAnsi="Times New Roman"/>
          <w:sz w:val="28"/>
          <w:szCs w:val="28"/>
        </w:rPr>
      </w:pPr>
      <w:r w:rsidRPr="000326BF">
        <w:rPr>
          <w:rFonts w:ascii="Times New Roman" w:hAnsi="Times New Roman"/>
          <w:sz w:val="28"/>
          <w:szCs w:val="28"/>
        </w:rPr>
        <w:t xml:space="preserve">672 человека (2014г. – 816чел.) или 5,9 % (2014г. – 7,1 %) от общего числа населения округа являются малоимущими. Сокращение численности малоимущих граждан произошло в связи с их перерегистрацией. </w:t>
      </w:r>
    </w:p>
    <w:p w:rsidR="001C69FF" w:rsidRPr="000326BF" w:rsidRDefault="001C69FF" w:rsidP="001C69FF">
      <w:pPr>
        <w:spacing w:line="240" w:lineRule="auto"/>
        <w:ind w:firstLine="708"/>
        <w:jc w:val="both"/>
        <w:rPr>
          <w:rFonts w:ascii="Times New Roman" w:hAnsi="Times New Roman"/>
          <w:sz w:val="28"/>
          <w:szCs w:val="28"/>
        </w:rPr>
      </w:pPr>
      <w:r w:rsidRPr="000326BF">
        <w:rPr>
          <w:rFonts w:ascii="Times New Roman" w:hAnsi="Times New Roman"/>
          <w:sz w:val="28"/>
          <w:szCs w:val="28"/>
        </w:rPr>
        <w:t xml:space="preserve">Дополнительно к мерах государственной поддержки, в муниципальном образовании  в рамках ведомственной  программы «Социальная поддержка отдельных категорий граждан», были оказаны различные виды поддержки 431 гражданам (в 2014 г. - 434 чел.), на сумму 2,4 млн. руб.: материальная помощь на приобретение топлива, 50% компенсация стоимости билета на услуги бани, оплата путевок в летнюю оздоровительную кампанию, возмещение расходов социальному магазину, доп. молочное питание детям, и иные мероприятия. </w:t>
      </w:r>
    </w:p>
    <w:p w:rsidR="001C69FF" w:rsidRDefault="001C69FF" w:rsidP="001C69FF">
      <w:pPr>
        <w:spacing w:after="0"/>
        <w:jc w:val="both"/>
        <w:rPr>
          <w:rFonts w:ascii="Times New Roman" w:hAnsi="Times New Roman"/>
          <w:sz w:val="28"/>
          <w:szCs w:val="28"/>
        </w:rPr>
      </w:pPr>
      <w:r w:rsidRPr="001C69FF">
        <w:rPr>
          <w:rFonts w:ascii="Times New Roman" w:hAnsi="Times New Roman"/>
          <w:sz w:val="28"/>
          <w:szCs w:val="28"/>
        </w:rPr>
        <w:tab/>
      </w:r>
    </w:p>
    <w:p w:rsidR="001C69FF" w:rsidRPr="001C69FF" w:rsidRDefault="001C69FF" w:rsidP="001C69FF">
      <w:pPr>
        <w:spacing w:after="0"/>
        <w:ind w:firstLine="708"/>
        <w:jc w:val="both"/>
        <w:rPr>
          <w:rFonts w:ascii="Times New Roman" w:hAnsi="Times New Roman"/>
          <w:b/>
          <w:sz w:val="28"/>
          <w:szCs w:val="28"/>
        </w:rPr>
      </w:pPr>
      <w:r w:rsidRPr="001C69FF">
        <w:rPr>
          <w:rFonts w:ascii="Times New Roman" w:hAnsi="Times New Roman"/>
          <w:b/>
          <w:sz w:val="28"/>
          <w:szCs w:val="28"/>
        </w:rPr>
        <w:t>Создание условий для традиционного проживания и хозяйствования коренных малочисленных народов Севера</w:t>
      </w:r>
    </w:p>
    <w:p w:rsidR="001C69FF" w:rsidRPr="000326BF" w:rsidRDefault="001C69FF" w:rsidP="001C69FF">
      <w:pPr>
        <w:spacing w:after="0"/>
        <w:jc w:val="both"/>
        <w:rPr>
          <w:sz w:val="26"/>
          <w:szCs w:val="26"/>
        </w:rPr>
      </w:pPr>
      <w:r w:rsidRPr="000326BF">
        <w:rPr>
          <w:rFonts w:ascii="Times New Roman" w:hAnsi="Times New Roman"/>
          <w:sz w:val="28"/>
          <w:szCs w:val="28"/>
        </w:rPr>
        <w:t xml:space="preserve">       По состоянию на 01.01.2016 общая численность коренных малочисленных народов, проживающих на территории муниципального образования, составляет  1137 человек,  проживают представители основных коренных этносов Сахалина  (нивхи, орочены, эвенки) (естественный прирост – 0).</w:t>
      </w:r>
      <w:r w:rsidRPr="000326BF">
        <w:rPr>
          <w:sz w:val="26"/>
          <w:szCs w:val="26"/>
        </w:rPr>
        <w:t xml:space="preserve">       </w:t>
      </w:r>
    </w:p>
    <w:p w:rsidR="001C69FF" w:rsidRPr="000326BF" w:rsidRDefault="001C69FF" w:rsidP="001C69FF">
      <w:pPr>
        <w:spacing w:after="0"/>
        <w:jc w:val="both"/>
        <w:rPr>
          <w:rFonts w:ascii="Times New Roman" w:hAnsi="Times New Roman"/>
          <w:sz w:val="28"/>
          <w:szCs w:val="28"/>
        </w:rPr>
      </w:pPr>
      <w:r w:rsidRPr="000326BF">
        <w:rPr>
          <w:rFonts w:ascii="Times New Roman" w:hAnsi="Times New Roman"/>
          <w:sz w:val="28"/>
          <w:szCs w:val="28"/>
        </w:rPr>
        <w:t xml:space="preserve">      В муниципальном образовании реализуются  программы в целях содействия социально – экономическому развитию коренных народов Севера: </w:t>
      </w:r>
    </w:p>
    <w:p w:rsidR="001C69FF" w:rsidRPr="000326BF" w:rsidRDefault="001C69FF" w:rsidP="001C69FF">
      <w:pPr>
        <w:spacing w:after="0"/>
        <w:jc w:val="both"/>
        <w:rPr>
          <w:rFonts w:ascii="Times New Roman" w:hAnsi="Times New Roman"/>
          <w:sz w:val="28"/>
          <w:szCs w:val="28"/>
        </w:rPr>
      </w:pPr>
      <w:r w:rsidRPr="000326BF">
        <w:rPr>
          <w:rFonts w:ascii="Times New Roman" w:hAnsi="Times New Roman"/>
          <w:sz w:val="28"/>
          <w:szCs w:val="28"/>
        </w:rPr>
        <w:t xml:space="preserve">- государственная программа «Укрепление единства российской нации и этнокультурное развитие народов России, проживающих на территории Сахалинской области на 2015 – 2020 годы»,  </w:t>
      </w:r>
      <w:r w:rsidRPr="000326BF">
        <w:rPr>
          <w:rFonts w:ascii="Times New Roman" w:hAnsi="Times New Roman"/>
          <w:b/>
          <w:sz w:val="28"/>
          <w:szCs w:val="28"/>
        </w:rPr>
        <w:t xml:space="preserve"> </w:t>
      </w:r>
    </w:p>
    <w:p w:rsidR="001C69FF" w:rsidRPr="000326BF" w:rsidRDefault="001C69FF" w:rsidP="001C69FF">
      <w:pPr>
        <w:spacing w:after="0"/>
        <w:jc w:val="both"/>
        <w:rPr>
          <w:rFonts w:ascii="Times New Roman" w:hAnsi="Times New Roman"/>
          <w:sz w:val="28"/>
          <w:szCs w:val="28"/>
        </w:rPr>
      </w:pPr>
      <w:r w:rsidRPr="000326BF">
        <w:rPr>
          <w:rFonts w:ascii="Times New Roman" w:hAnsi="Times New Roman"/>
          <w:sz w:val="28"/>
          <w:szCs w:val="28"/>
        </w:rPr>
        <w:t xml:space="preserve">-  районная программа «Социальная поддержка малообеспеченных граждан, проживающих на территории муниципального образования «Городской округ Ногликский»,  </w:t>
      </w:r>
    </w:p>
    <w:p w:rsidR="001C69FF" w:rsidRPr="000326BF" w:rsidRDefault="001C69FF" w:rsidP="001C69FF">
      <w:pPr>
        <w:spacing w:after="0"/>
        <w:jc w:val="both"/>
        <w:rPr>
          <w:rFonts w:ascii="Times New Roman" w:hAnsi="Times New Roman"/>
          <w:sz w:val="28"/>
          <w:szCs w:val="28"/>
        </w:rPr>
      </w:pPr>
      <w:r w:rsidRPr="000326BF">
        <w:rPr>
          <w:rFonts w:ascii="Times New Roman" w:hAnsi="Times New Roman"/>
          <w:sz w:val="28"/>
          <w:szCs w:val="28"/>
        </w:rPr>
        <w:t>- а также действует социальные программы в рамках «Плана содействия развитию коренных малочисленных народов Севера Сахалина» при финансовой поддержке компании «Сахалин Энерджи» и «Эксон Нефтегаз Лимитед».</w:t>
      </w:r>
    </w:p>
    <w:p w:rsidR="001C69FF" w:rsidRPr="000326BF" w:rsidRDefault="001C69FF" w:rsidP="001C69FF">
      <w:pPr>
        <w:spacing w:after="0"/>
        <w:ind w:firstLine="709"/>
        <w:jc w:val="both"/>
        <w:rPr>
          <w:sz w:val="26"/>
          <w:szCs w:val="26"/>
        </w:rPr>
      </w:pPr>
      <w:r w:rsidRPr="000326BF">
        <w:rPr>
          <w:rFonts w:ascii="Times New Roman" w:hAnsi="Times New Roman"/>
          <w:sz w:val="28"/>
          <w:szCs w:val="28"/>
        </w:rPr>
        <w:t xml:space="preserve">В 2015 году мастера декоративно – прикладного искусства: Осиповой В.В. Левкун В.В. Садиновой Е.В.,  представляли  свои работы  на ежегодной выставке – ярмарке «Северная цивилизация»,  в павильоне Всероссийского </w:t>
      </w:r>
      <w:r w:rsidRPr="000326BF">
        <w:rPr>
          <w:rFonts w:ascii="Times New Roman" w:hAnsi="Times New Roman"/>
          <w:sz w:val="28"/>
          <w:szCs w:val="28"/>
        </w:rPr>
        <w:lastRenderedPageBreak/>
        <w:t>Выставочного Центра г. Москвы.  Мастерами  было получено золотые медали, дипломы.</w:t>
      </w:r>
      <w:r w:rsidRPr="000326BF">
        <w:rPr>
          <w:sz w:val="26"/>
          <w:szCs w:val="26"/>
        </w:rPr>
        <w:t xml:space="preserve">   </w:t>
      </w:r>
    </w:p>
    <w:p w:rsidR="001C69FF" w:rsidRPr="000326BF" w:rsidRDefault="001C69FF" w:rsidP="001C69FF">
      <w:pPr>
        <w:spacing w:after="0"/>
        <w:ind w:firstLine="709"/>
        <w:jc w:val="both"/>
        <w:rPr>
          <w:rFonts w:ascii="Times New Roman" w:hAnsi="Times New Roman"/>
          <w:sz w:val="28"/>
          <w:szCs w:val="28"/>
        </w:rPr>
      </w:pPr>
      <w:r w:rsidRPr="000326BF">
        <w:rPr>
          <w:rFonts w:ascii="Times New Roman" w:hAnsi="Times New Roman"/>
          <w:sz w:val="28"/>
          <w:szCs w:val="28"/>
        </w:rPr>
        <w:t>В культурной жизни муниципального образования активно принимает участие творческие коллективы «Ари Ла Миф», «Сородэ»,</w:t>
      </w:r>
      <w:r w:rsidRPr="000326BF">
        <w:rPr>
          <w:sz w:val="26"/>
          <w:szCs w:val="26"/>
        </w:rPr>
        <w:t xml:space="preserve"> </w:t>
      </w:r>
      <w:r w:rsidRPr="000326BF">
        <w:rPr>
          <w:rFonts w:ascii="Times New Roman" w:hAnsi="Times New Roman"/>
          <w:sz w:val="28"/>
          <w:szCs w:val="28"/>
        </w:rPr>
        <w:t xml:space="preserve">клуб «Нивхинка». </w:t>
      </w:r>
    </w:p>
    <w:p w:rsidR="001C69FF" w:rsidRPr="000326BF" w:rsidRDefault="001C69FF" w:rsidP="001C69FF">
      <w:pPr>
        <w:spacing w:after="0"/>
        <w:jc w:val="both"/>
        <w:rPr>
          <w:rFonts w:ascii="Times New Roman" w:hAnsi="Times New Roman"/>
          <w:sz w:val="28"/>
          <w:szCs w:val="28"/>
        </w:rPr>
      </w:pPr>
      <w:r w:rsidRPr="000326BF">
        <w:rPr>
          <w:rFonts w:ascii="Times New Roman" w:hAnsi="Times New Roman"/>
          <w:sz w:val="28"/>
          <w:szCs w:val="28"/>
        </w:rPr>
        <w:t xml:space="preserve">     Для сохранения и развития национальных видов спорта, представители городского округа участвуют в областных  соревнованиях по Северному многоборью среди детей и в Первенстве области по национальным видам спорта среди детей коренных малочисленных народов Севера. </w:t>
      </w:r>
    </w:p>
    <w:p w:rsidR="001C69FF" w:rsidRPr="000326BF" w:rsidRDefault="001C69FF" w:rsidP="001C69FF">
      <w:pPr>
        <w:jc w:val="both"/>
        <w:rPr>
          <w:rFonts w:ascii="Times New Roman" w:hAnsi="Times New Roman"/>
          <w:sz w:val="28"/>
          <w:szCs w:val="28"/>
        </w:rPr>
      </w:pPr>
      <w:r w:rsidRPr="000326BF">
        <w:rPr>
          <w:rFonts w:ascii="Times New Roman" w:hAnsi="Times New Roman"/>
          <w:sz w:val="28"/>
          <w:szCs w:val="28"/>
        </w:rPr>
        <w:t xml:space="preserve">     Уделяется  внимание организации летнего отдыха и трудовой занятости детей из числа коренных малочисленных народов Севера. В  оздоровительном  этнолагере  «Корх»  (25 чел.) на базе МОУ СОШ № 2 , в котором созданы условия для физического и духовного, психологического и культурного развития детей и подростков, при этом учитываются особенности национальных традиций и обычаев. </w:t>
      </w:r>
    </w:p>
    <w:p w:rsidR="001C69FF" w:rsidRPr="000326BF" w:rsidRDefault="001C69FF" w:rsidP="001C69FF">
      <w:pPr>
        <w:spacing w:after="0"/>
        <w:ind w:firstLine="709"/>
        <w:jc w:val="both"/>
        <w:rPr>
          <w:rFonts w:ascii="Times New Roman" w:hAnsi="Times New Roman"/>
          <w:sz w:val="28"/>
          <w:szCs w:val="28"/>
        </w:rPr>
      </w:pPr>
    </w:p>
    <w:p w:rsidR="001C69FF" w:rsidRPr="000326BF" w:rsidRDefault="001C69FF" w:rsidP="001C69FF">
      <w:pPr>
        <w:spacing w:after="0"/>
        <w:ind w:firstLine="709"/>
        <w:jc w:val="both"/>
        <w:rPr>
          <w:rFonts w:ascii="Times New Roman" w:hAnsi="Times New Roman"/>
          <w:sz w:val="28"/>
          <w:szCs w:val="28"/>
        </w:rPr>
      </w:pPr>
    </w:p>
    <w:p w:rsidR="001C69FF" w:rsidRPr="000326BF" w:rsidRDefault="001C69FF" w:rsidP="001C69FF">
      <w:pPr>
        <w:spacing w:after="0"/>
        <w:jc w:val="both"/>
        <w:rPr>
          <w:rFonts w:ascii="Times New Roman" w:hAnsi="Times New Roman"/>
          <w:sz w:val="28"/>
          <w:szCs w:val="28"/>
        </w:rPr>
      </w:pPr>
    </w:p>
    <w:p w:rsidR="0073399A" w:rsidRPr="0090484B" w:rsidRDefault="0073399A" w:rsidP="0090484B">
      <w:pPr>
        <w:spacing w:after="0"/>
        <w:rPr>
          <w:rFonts w:ascii="Times New Roman" w:hAnsi="Times New Roman" w:cs="Times New Roman"/>
          <w:sz w:val="28"/>
          <w:szCs w:val="28"/>
        </w:rPr>
      </w:pPr>
    </w:p>
    <w:p w:rsidR="002D342C" w:rsidRPr="0090484B" w:rsidRDefault="002D342C" w:rsidP="0090484B">
      <w:pPr>
        <w:spacing w:after="0"/>
        <w:jc w:val="both"/>
        <w:rPr>
          <w:rFonts w:ascii="Times New Roman" w:hAnsi="Times New Roman" w:cs="Times New Roman"/>
          <w:sz w:val="28"/>
          <w:szCs w:val="28"/>
        </w:rPr>
      </w:pPr>
    </w:p>
    <w:sectPr w:rsidR="002D342C" w:rsidRPr="0090484B" w:rsidSect="005B32D0">
      <w:footerReference w:type="default" r:id="rId6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125D" w:rsidRDefault="00F3125D" w:rsidP="004E132D">
      <w:pPr>
        <w:spacing w:after="0" w:line="240" w:lineRule="auto"/>
      </w:pPr>
      <w:r>
        <w:separator/>
      </w:r>
    </w:p>
  </w:endnote>
  <w:endnote w:type="continuationSeparator" w:id="0">
    <w:p w:rsidR="00F3125D" w:rsidRDefault="00F3125D" w:rsidP="004E13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99816"/>
      <w:docPartObj>
        <w:docPartGallery w:val="Page Numbers (Bottom of Page)"/>
        <w:docPartUnique/>
      </w:docPartObj>
    </w:sdtPr>
    <w:sdtContent>
      <w:p w:rsidR="00146562" w:rsidRDefault="00146562">
        <w:pPr>
          <w:pStyle w:val="a7"/>
          <w:jc w:val="right"/>
        </w:pPr>
        <w:fldSimple w:instr=" PAGE   \* MERGEFORMAT ">
          <w:r w:rsidR="00587DFF">
            <w:rPr>
              <w:noProof/>
            </w:rPr>
            <w:t>57</w:t>
          </w:r>
        </w:fldSimple>
      </w:p>
    </w:sdtContent>
  </w:sdt>
  <w:p w:rsidR="00146562" w:rsidRDefault="00146562">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125D" w:rsidRDefault="00F3125D" w:rsidP="004E132D">
      <w:pPr>
        <w:spacing w:after="0" w:line="240" w:lineRule="auto"/>
      </w:pPr>
      <w:r>
        <w:separator/>
      </w:r>
    </w:p>
  </w:footnote>
  <w:footnote w:type="continuationSeparator" w:id="0">
    <w:p w:rsidR="00F3125D" w:rsidRDefault="00F3125D" w:rsidP="004E132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D1958"/>
    <w:multiLevelType w:val="hybridMultilevel"/>
    <w:tmpl w:val="1124E29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560B294C"/>
    <w:multiLevelType w:val="hybridMultilevel"/>
    <w:tmpl w:val="8ECA41CC"/>
    <w:lvl w:ilvl="0" w:tplc="ACD86622">
      <w:start w:val="1"/>
      <w:numFmt w:val="decimal"/>
      <w:lvlText w:val="%1."/>
      <w:lvlJc w:val="left"/>
      <w:pPr>
        <w:ind w:left="1495"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616D5DE7"/>
    <w:multiLevelType w:val="hybridMultilevel"/>
    <w:tmpl w:val="D69A5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5"/>
  <w:defaultTabStop w:val="708"/>
  <w:characterSpacingControl w:val="doNotCompress"/>
  <w:footnotePr>
    <w:footnote w:id="-1"/>
    <w:footnote w:id="0"/>
  </w:footnotePr>
  <w:endnotePr>
    <w:endnote w:id="-1"/>
    <w:endnote w:id="0"/>
  </w:endnotePr>
  <w:compat/>
  <w:rsids>
    <w:rsidRoot w:val="009761B2"/>
    <w:rsid w:val="00004B8D"/>
    <w:rsid w:val="0003129D"/>
    <w:rsid w:val="00063E7C"/>
    <w:rsid w:val="000D14F7"/>
    <w:rsid w:val="00146562"/>
    <w:rsid w:val="001759DE"/>
    <w:rsid w:val="001C69FF"/>
    <w:rsid w:val="0026785D"/>
    <w:rsid w:val="0028428E"/>
    <w:rsid w:val="002D342C"/>
    <w:rsid w:val="00341A0B"/>
    <w:rsid w:val="003702AE"/>
    <w:rsid w:val="003E2B0A"/>
    <w:rsid w:val="00406A8B"/>
    <w:rsid w:val="004477FB"/>
    <w:rsid w:val="00475E04"/>
    <w:rsid w:val="004E132D"/>
    <w:rsid w:val="00587DFF"/>
    <w:rsid w:val="005A3DFA"/>
    <w:rsid w:val="005B129B"/>
    <w:rsid w:val="005B32D0"/>
    <w:rsid w:val="005F381C"/>
    <w:rsid w:val="00664A86"/>
    <w:rsid w:val="006945E3"/>
    <w:rsid w:val="0073399A"/>
    <w:rsid w:val="0076495D"/>
    <w:rsid w:val="0090484B"/>
    <w:rsid w:val="00946CB4"/>
    <w:rsid w:val="00975BC2"/>
    <w:rsid w:val="009761B2"/>
    <w:rsid w:val="009933B5"/>
    <w:rsid w:val="00A629DB"/>
    <w:rsid w:val="00B43B5E"/>
    <w:rsid w:val="00B82EBE"/>
    <w:rsid w:val="00C42E74"/>
    <w:rsid w:val="00D04828"/>
    <w:rsid w:val="00E1134A"/>
    <w:rsid w:val="00E87200"/>
    <w:rsid w:val="00EA3099"/>
    <w:rsid w:val="00F107D8"/>
    <w:rsid w:val="00F3125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32D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4">
    <w:name w:val="Основной текст с отступом 34"/>
    <w:basedOn w:val="a"/>
    <w:rsid w:val="00063E7C"/>
    <w:pPr>
      <w:suppressAutoHyphens/>
      <w:spacing w:after="120" w:line="240" w:lineRule="auto"/>
      <w:ind w:left="283"/>
    </w:pPr>
    <w:rPr>
      <w:rFonts w:ascii="Times New Roman" w:eastAsia="Times New Roman" w:hAnsi="Times New Roman" w:cs="Times New Roman"/>
      <w:sz w:val="16"/>
      <w:szCs w:val="16"/>
      <w:lang w:eastAsia="ar-SA"/>
    </w:rPr>
  </w:style>
  <w:style w:type="paragraph" w:styleId="a3">
    <w:name w:val="Balloon Text"/>
    <w:basedOn w:val="a"/>
    <w:link w:val="a4"/>
    <w:uiPriority w:val="99"/>
    <w:semiHidden/>
    <w:unhideWhenUsed/>
    <w:rsid w:val="00063E7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63E7C"/>
    <w:rPr>
      <w:rFonts w:ascii="Tahoma" w:hAnsi="Tahoma" w:cs="Tahoma"/>
      <w:sz w:val="16"/>
      <w:szCs w:val="16"/>
    </w:rPr>
  </w:style>
  <w:style w:type="paragraph" w:styleId="3">
    <w:name w:val="Body Text 3"/>
    <w:basedOn w:val="a"/>
    <w:link w:val="30"/>
    <w:rsid w:val="00063E7C"/>
    <w:pPr>
      <w:spacing w:after="0" w:line="240" w:lineRule="auto"/>
      <w:jc w:val="both"/>
    </w:pPr>
    <w:rPr>
      <w:rFonts w:ascii="Times New Roman" w:eastAsia="Times New Roman" w:hAnsi="Times New Roman" w:cs="Times New Roman"/>
      <w:sz w:val="24"/>
      <w:szCs w:val="24"/>
      <w:lang w:eastAsia="ru-RU"/>
    </w:rPr>
  </w:style>
  <w:style w:type="character" w:customStyle="1" w:styleId="30">
    <w:name w:val="Основной текст 3 Знак"/>
    <w:basedOn w:val="a0"/>
    <w:link w:val="3"/>
    <w:rsid w:val="00063E7C"/>
    <w:rPr>
      <w:rFonts w:ascii="Times New Roman" w:eastAsia="Times New Roman" w:hAnsi="Times New Roman" w:cs="Times New Roman"/>
      <w:sz w:val="24"/>
      <w:szCs w:val="24"/>
      <w:lang w:eastAsia="ru-RU"/>
    </w:rPr>
  </w:style>
  <w:style w:type="paragraph" w:styleId="a5">
    <w:name w:val="header"/>
    <w:basedOn w:val="a"/>
    <w:link w:val="a6"/>
    <w:uiPriority w:val="99"/>
    <w:semiHidden/>
    <w:unhideWhenUsed/>
    <w:rsid w:val="004E132D"/>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4E132D"/>
  </w:style>
  <w:style w:type="paragraph" w:styleId="a7">
    <w:name w:val="footer"/>
    <w:basedOn w:val="a"/>
    <w:link w:val="a8"/>
    <w:uiPriority w:val="99"/>
    <w:unhideWhenUsed/>
    <w:rsid w:val="004E132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E132D"/>
  </w:style>
  <w:style w:type="paragraph" w:styleId="a9">
    <w:name w:val="Normal (Web)"/>
    <w:aliases w:val="Знак,Обычный (Web),Обычный (веб)1,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
    <w:rsid w:val="00D048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qFormat/>
    <w:rsid w:val="002D342C"/>
    <w:rPr>
      <w:b/>
      <w:bCs/>
    </w:rPr>
  </w:style>
  <w:style w:type="paragraph" w:styleId="2">
    <w:name w:val="Body Text 2"/>
    <w:basedOn w:val="a"/>
    <w:link w:val="20"/>
    <w:rsid w:val="00664A86"/>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664A86"/>
    <w:rPr>
      <w:rFonts w:ascii="Times New Roman" w:eastAsia="Times New Roman" w:hAnsi="Times New Roman" w:cs="Times New Roman"/>
      <w:sz w:val="24"/>
      <w:szCs w:val="24"/>
      <w:lang w:eastAsia="ru-RU"/>
    </w:rPr>
  </w:style>
  <w:style w:type="paragraph" w:styleId="ab">
    <w:name w:val="No Spacing"/>
    <w:uiPriority w:val="1"/>
    <w:qFormat/>
    <w:rsid w:val="00664A86"/>
    <w:pPr>
      <w:spacing w:after="0" w:line="240" w:lineRule="auto"/>
    </w:pPr>
    <w:rPr>
      <w:rFonts w:ascii="Times New Roman" w:eastAsia="Times New Roman" w:hAnsi="Times New Roman" w:cs="Times New Roman"/>
      <w:sz w:val="24"/>
      <w:szCs w:val="24"/>
      <w:lang w:eastAsia="ru-RU"/>
    </w:rPr>
  </w:style>
  <w:style w:type="paragraph" w:styleId="ac">
    <w:name w:val="Body Text"/>
    <w:basedOn w:val="a"/>
    <w:link w:val="ad"/>
    <w:uiPriority w:val="99"/>
    <w:semiHidden/>
    <w:unhideWhenUsed/>
    <w:rsid w:val="00C42E74"/>
    <w:pPr>
      <w:spacing w:after="120"/>
    </w:pPr>
  </w:style>
  <w:style w:type="character" w:customStyle="1" w:styleId="ad">
    <w:name w:val="Основной текст Знак"/>
    <w:basedOn w:val="a0"/>
    <w:link w:val="ac"/>
    <w:uiPriority w:val="99"/>
    <w:semiHidden/>
    <w:rsid w:val="00C42E74"/>
  </w:style>
  <w:style w:type="paragraph" w:styleId="ae">
    <w:name w:val="List Paragraph"/>
    <w:basedOn w:val="a"/>
    <w:uiPriority w:val="34"/>
    <w:qFormat/>
    <w:rsid w:val="006945E3"/>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ConsPlusNormal">
    <w:name w:val="ConsPlusNormal"/>
    <w:rsid w:val="0073399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73399A"/>
    <w:pPr>
      <w:autoSpaceDE w:val="0"/>
      <w:autoSpaceDN w:val="0"/>
      <w:adjustRightInd w:val="0"/>
      <w:spacing w:after="0" w:line="240" w:lineRule="auto"/>
    </w:pPr>
    <w:rPr>
      <w:rFonts w:ascii="Courier New" w:eastAsia="Calibri" w:hAnsi="Courier New" w:cs="Courier New"/>
      <w:sz w:val="20"/>
      <w:szCs w:val="20"/>
    </w:rPr>
  </w:style>
  <w:style w:type="character" w:customStyle="1" w:styleId="apple-converted-space">
    <w:name w:val="apple-converted-space"/>
    <w:basedOn w:val="a0"/>
    <w:rsid w:val="00A629DB"/>
  </w:style>
  <w:style w:type="paragraph" w:customStyle="1" w:styleId="ListParagraph">
    <w:name w:val="List Paragraph"/>
    <w:basedOn w:val="a"/>
    <w:rsid w:val="00A629DB"/>
    <w:pPr>
      <w:ind w:left="720"/>
      <w:contextualSpacing/>
    </w:pPr>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package" Target="embeddings/______Microsoft_Office_PowerPoint23.sldx"/><Relationship Id="rId21" Type="http://schemas.openxmlformats.org/officeDocument/2006/relationships/chart" Target="charts/chart14.xm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______Microsoft_Office_PowerPoint27.sldx"/><Relationship Id="rId50" Type="http://schemas.openxmlformats.org/officeDocument/2006/relationships/image" Target="media/image12.emf"/><Relationship Id="rId55" Type="http://schemas.openxmlformats.org/officeDocument/2006/relationships/package" Target="embeddings/______Microsoft_Office_PowerPoint31.sldx"/><Relationship Id="rId63" Type="http://schemas.openxmlformats.org/officeDocument/2006/relationships/chart" Target="charts/chart2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diagramQuickStyle" Target="diagrams/quickStyle1.xml"/><Relationship Id="rId41" Type="http://schemas.openxmlformats.org/officeDocument/2006/relationships/package" Target="embeddings/______Microsoft_Office_PowerPoint24.sldx"/><Relationship Id="rId54" Type="http://schemas.openxmlformats.org/officeDocument/2006/relationships/image" Target="media/image14.emf"/><Relationship Id="rId62"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image" Target="media/image3.emf"/><Relationship Id="rId37" Type="http://schemas.openxmlformats.org/officeDocument/2006/relationships/package" Target="embeddings/______Microsoft_Office_PowerPoint22.sldx"/><Relationship Id="rId40" Type="http://schemas.openxmlformats.org/officeDocument/2006/relationships/image" Target="media/image7.emf"/><Relationship Id="rId45" Type="http://schemas.openxmlformats.org/officeDocument/2006/relationships/package" Target="embeddings/______Microsoft_Office_PowerPoint26.sldx"/><Relationship Id="rId53" Type="http://schemas.openxmlformats.org/officeDocument/2006/relationships/package" Target="embeddings/______Microsoft_Office_PowerPoint30.sldx"/><Relationship Id="rId58" Type="http://schemas.openxmlformats.org/officeDocument/2006/relationships/image" Target="media/image16.e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diagramLayout" Target="diagrams/layout1.xml"/><Relationship Id="rId36" Type="http://schemas.openxmlformats.org/officeDocument/2006/relationships/image" Target="media/image5.emf"/><Relationship Id="rId49" Type="http://schemas.openxmlformats.org/officeDocument/2006/relationships/package" Target="embeddings/______Microsoft_Office_PowerPoint28.sldx"/><Relationship Id="rId57" Type="http://schemas.openxmlformats.org/officeDocument/2006/relationships/package" Target="embeddings/______Microsoft_Office_PowerPoint32.sldx"/><Relationship Id="rId61" Type="http://schemas.openxmlformats.org/officeDocument/2006/relationships/package" Target="embeddings/______Microsoft_Office_PowerPoint34.sldx"/><Relationship Id="rId10" Type="http://schemas.openxmlformats.org/officeDocument/2006/relationships/chart" Target="charts/chart3.xml"/><Relationship Id="rId19" Type="http://schemas.openxmlformats.org/officeDocument/2006/relationships/chart" Target="charts/chart12.xml"/><Relationship Id="rId31" Type="http://schemas.microsoft.com/office/2007/relationships/diagramDrawing" Target="diagrams/drawing1.xml"/><Relationship Id="rId44" Type="http://schemas.openxmlformats.org/officeDocument/2006/relationships/image" Target="media/image9.emf"/><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package" Target="embeddings/______Microsoft_Office_PowerPoint21.sldx"/><Relationship Id="rId43" Type="http://schemas.openxmlformats.org/officeDocument/2006/relationships/package" Target="embeddings/______Microsoft_Office_PowerPoint25.sldx"/><Relationship Id="rId48" Type="http://schemas.openxmlformats.org/officeDocument/2006/relationships/image" Target="media/image11.emf"/><Relationship Id="rId56" Type="http://schemas.openxmlformats.org/officeDocument/2006/relationships/image" Target="media/image15.emf"/><Relationship Id="rId64"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package" Target="embeddings/______Microsoft_Office_PowerPoint29.sldx"/><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package" Target="embeddings/______Microsoft_Office_PowerPoint20.sl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______Microsoft_Office_PowerPoint33.sldx"/></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image" Target="../media/image2.jpeg"/></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35.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36.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image" Target="../media/image1.jpeg"/></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18"/>
      <c:hPercent val="55"/>
      <c:depthPercent val="100"/>
      <c:rAngAx val="1"/>
    </c:view3D>
    <c:floor>
      <c:spPr>
        <a:solidFill>
          <a:srgbClr val="C0C0C0"/>
        </a:solidFill>
        <a:ln w="3175">
          <a:solidFill>
            <a:srgbClr val="000000"/>
          </a:solidFill>
          <a:prstDash val="solid"/>
        </a:ln>
      </c:spPr>
    </c:floor>
    <c:sideWall>
      <c:spPr>
        <a:gradFill rotWithShape="0">
          <a:gsLst>
            <a:gs pos="0">
              <a:srgbClr val="CCFFCC"/>
            </a:gs>
            <a:gs pos="50000">
              <a:srgbClr val="C0C0C0"/>
            </a:gs>
            <a:gs pos="100000">
              <a:srgbClr val="CCFFCC"/>
            </a:gs>
          </a:gsLst>
          <a:lin ang="5400000" scaled="1"/>
        </a:gradFill>
        <a:ln w="12700">
          <a:solidFill>
            <a:srgbClr val="808080"/>
          </a:solidFill>
          <a:prstDash val="solid"/>
        </a:ln>
      </c:spPr>
    </c:sideWall>
    <c:backWall>
      <c:spPr>
        <a:gradFill rotWithShape="0">
          <a:gsLst>
            <a:gs pos="0">
              <a:srgbClr val="CCFFCC"/>
            </a:gs>
            <a:gs pos="50000">
              <a:srgbClr val="C0C0C0"/>
            </a:gs>
            <a:gs pos="100000">
              <a:srgbClr val="CCFFCC"/>
            </a:gs>
          </a:gsLst>
          <a:lin ang="5400000" scaled="1"/>
        </a:gradFill>
        <a:ln w="12700">
          <a:solidFill>
            <a:srgbClr val="808080"/>
          </a:solidFill>
          <a:prstDash val="solid"/>
        </a:ln>
      </c:spPr>
    </c:backWall>
    <c:plotArea>
      <c:layout>
        <c:manualLayout>
          <c:layoutTarget val="inner"/>
          <c:xMode val="edge"/>
          <c:yMode val="edge"/>
          <c:x val="9.2985318107667261E-2"/>
          <c:y val="2.2670025188916938E-2"/>
          <c:w val="0.88907014681892349"/>
          <c:h val="0.73803526448362811"/>
        </c:manualLayout>
      </c:layout>
      <c:bar3DChart>
        <c:barDir val="col"/>
        <c:grouping val="stacked"/>
        <c:ser>
          <c:idx val="0"/>
          <c:order val="0"/>
          <c:tx>
            <c:strRef>
              <c:f>Sheet1!$A$2</c:f>
              <c:strCache>
                <c:ptCount val="1"/>
                <c:pt idx="0">
                  <c:v>число жителей на конец года</c:v>
                </c:pt>
              </c:strCache>
            </c:strRef>
          </c:tx>
          <c:spPr>
            <a:gradFill rotWithShape="0">
              <a:gsLst>
                <a:gs pos="0">
                  <a:srgbClr val="9999FF"/>
                </a:gs>
                <a:gs pos="50000">
                  <a:srgbClr val="9999FF">
                    <a:gamma/>
                    <a:tint val="50588"/>
                    <a:invGamma/>
                  </a:srgbClr>
                </a:gs>
                <a:gs pos="100000">
                  <a:srgbClr val="9999FF"/>
                </a:gs>
              </a:gsLst>
              <a:lin ang="5400000" scaled="1"/>
            </a:gradFill>
            <a:ln w="12675">
              <a:solidFill>
                <a:srgbClr val="000000"/>
              </a:solidFill>
              <a:prstDash val="solid"/>
            </a:ln>
          </c:spPr>
          <c:dLbls>
            <c:dLbl>
              <c:idx val="0"/>
              <c:layout>
                <c:manualLayout>
                  <c:x val="9.8647209257158577E-4"/>
                  <c:y val="6.390818810027965E-2"/>
                </c:manualLayout>
              </c:layout>
              <c:tx>
                <c:rich>
                  <a:bodyPr rot="-3600000" vert="horz"/>
                  <a:lstStyle/>
                  <a:p>
                    <a:pPr algn="ctr">
                      <a:defRPr sz="1497" b="1" i="0" u="none" strike="noStrike" baseline="0">
                        <a:solidFill>
                          <a:srgbClr val="000000"/>
                        </a:solidFill>
                        <a:latin typeface="Arial Cyr"/>
                        <a:ea typeface="Arial Cyr"/>
                        <a:cs typeface="Arial Cyr"/>
                      </a:defRPr>
                    </a:pPr>
                    <a:r>
                      <a:rPr lang="ru-RU"/>
                      <a:t>12127</a:t>
                    </a:r>
                  </a:p>
                </c:rich>
              </c:tx>
              <c:spPr>
                <a:noFill/>
                <a:ln w="25350">
                  <a:noFill/>
                </a:ln>
              </c:spPr>
            </c:dLbl>
            <c:dLbl>
              <c:idx val="1"/>
              <c:layout>
                <c:manualLayout>
                  <c:x val="-1.0701130620160752E-2"/>
                  <c:y val="4.6920626909179586E-2"/>
                </c:manualLayout>
              </c:layout>
              <c:spPr>
                <a:noFill/>
                <a:ln w="25350">
                  <a:noFill/>
                </a:ln>
              </c:spPr>
              <c:txPr>
                <a:bodyPr rot="-3600000" vert="horz"/>
                <a:lstStyle/>
                <a:p>
                  <a:pPr algn="ctr">
                    <a:defRPr sz="1497" b="1" i="0" u="none" strike="noStrike" baseline="0">
                      <a:solidFill>
                        <a:srgbClr val="000000"/>
                      </a:solidFill>
                      <a:latin typeface="Arial Cyr"/>
                      <a:ea typeface="Arial Cyr"/>
                      <a:cs typeface="Arial Cyr"/>
                    </a:defRPr>
                  </a:pPr>
                  <a:endParaRPr lang="ru-RU"/>
                </a:p>
              </c:txPr>
              <c:showVal val="1"/>
            </c:dLbl>
            <c:dLbl>
              <c:idx val="2"/>
              <c:layout>
                <c:manualLayout>
                  <c:x val="-1.1411075594271871E-2"/>
                  <c:y val="3.5661814425119377E-2"/>
                </c:manualLayout>
              </c:layout>
              <c:spPr>
                <a:noFill/>
                <a:ln w="25350">
                  <a:noFill/>
                </a:ln>
              </c:spPr>
              <c:txPr>
                <a:bodyPr rot="-3600000" vert="horz"/>
                <a:lstStyle/>
                <a:p>
                  <a:pPr algn="ctr">
                    <a:defRPr sz="1497" b="1" i="0" u="none" strike="noStrike" baseline="0">
                      <a:solidFill>
                        <a:srgbClr val="000000"/>
                      </a:solidFill>
                      <a:latin typeface="Arial Cyr"/>
                      <a:ea typeface="Arial Cyr"/>
                      <a:cs typeface="Arial Cyr"/>
                    </a:defRPr>
                  </a:pPr>
                  <a:endParaRPr lang="ru-RU"/>
                </a:p>
              </c:txPr>
              <c:showVal val="1"/>
            </c:dLbl>
            <c:dLbl>
              <c:idx val="3"/>
              <c:layout>
                <c:manualLayout>
                  <c:x val="-1.9836204048587155E-2"/>
                  <c:y val="-8.214015719450905E-3"/>
                </c:manualLayout>
              </c:layout>
              <c:spPr>
                <a:noFill/>
                <a:ln w="25350">
                  <a:noFill/>
                </a:ln>
              </c:spPr>
              <c:txPr>
                <a:bodyPr rot="-3600000" vert="horz"/>
                <a:lstStyle/>
                <a:p>
                  <a:pPr algn="ctr">
                    <a:defRPr sz="1497" b="1" i="0" u="none" strike="noStrike" baseline="0">
                      <a:solidFill>
                        <a:srgbClr val="000000"/>
                      </a:solidFill>
                      <a:latin typeface="Arial Cyr"/>
                      <a:ea typeface="Arial Cyr"/>
                      <a:cs typeface="Arial Cyr"/>
                    </a:defRPr>
                  </a:pPr>
                  <a:endParaRPr lang="ru-RU"/>
                </a:p>
              </c:txPr>
              <c:showVal val="1"/>
            </c:dLbl>
            <c:spPr>
              <a:noFill/>
              <a:ln w="25350">
                <a:noFill/>
              </a:ln>
            </c:spPr>
            <c:txPr>
              <a:bodyPr rot="-4380000" vert="horz"/>
              <a:lstStyle/>
              <a:p>
                <a:pPr algn="ctr">
                  <a:defRPr sz="1497" b="1" i="0" u="none" strike="noStrike" baseline="0">
                    <a:solidFill>
                      <a:srgbClr val="000000"/>
                    </a:solidFill>
                    <a:latin typeface="Arial Cyr"/>
                    <a:ea typeface="Arial Cyr"/>
                    <a:cs typeface="Arial Cyr"/>
                  </a:defRPr>
                </a:pPr>
                <a:endParaRPr lang="ru-RU"/>
              </a:p>
            </c:txPr>
            <c:showVal val="1"/>
          </c:dLbls>
          <c:cat>
            <c:numRef>
              <c:f>Sheet1!$B$1:$G$1</c:f>
              <c:numCache>
                <c:formatCode>General</c:formatCode>
                <c:ptCount val="6"/>
                <c:pt idx="0">
                  <c:v>2010</c:v>
                </c:pt>
                <c:pt idx="1">
                  <c:v>2011</c:v>
                </c:pt>
                <c:pt idx="2">
                  <c:v>2012</c:v>
                </c:pt>
                <c:pt idx="3">
                  <c:v>2013</c:v>
                </c:pt>
                <c:pt idx="4">
                  <c:v>2014</c:v>
                </c:pt>
                <c:pt idx="5">
                  <c:v>2015</c:v>
                </c:pt>
              </c:numCache>
            </c:numRef>
          </c:cat>
          <c:val>
            <c:numRef>
              <c:f>Sheet1!$B$2:$G$2</c:f>
              <c:numCache>
                <c:formatCode>General</c:formatCode>
                <c:ptCount val="6"/>
                <c:pt idx="0">
                  <c:v>12127</c:v>
                </c:pt>
                <c:pt idx="1">
                  <c:v>12014</c:v>
                </c:pt>
                <c:pt idx="2">
                  <c:v>11840</c:v>
                </c:pt>
                <c:pt idx="3">
                  <c:v>11638</c:v>
                </c:pt>
                <c:pt idx="4">
                  <c:v>11435</c:v>
                </c:pt>
                <c:pt idx="5">
                  <c:v>11326</c:v>
                </c:pt>
              </c:numCache>
            </c:numRef>
          </c:val>
        </c:ser>
        <c:ser>
          <c:idx val="1"/>
          <c:order val="1"/>
          <c:tx>
            <c:strRef>
              <c:f>Sheet1!$A$3</c:f>
              <c:strCache>
                <c:ptCount val="1"/>
                <c:pt idx="0">
                  <c:v>естественная убыль</c:v>
                </c:pt>
              </c:strCache>
            </c:strRef>
          </c:tx>
          <c:spPr>
            <a:gradFill rotWithShape="0">
              <a:gsLst>
                <a:gs pos="0">
                  <a:srgbClr val="993366"/>
                </a:gs>
                <a:gs pos="50000">
                  <a:srgbClr val="FFFFFF"/>
                </a:gs>
                <a:gs pos="100000">
                  <a:srgbClr val="993366"/>
                </a:gs>
              </a:gsLst>
              <a:lin ang="5400000" scaled="1"/>
            </a:gradFill>
            <a:ln w="12675">
              <a:solidFill>
                <a:srgbClr val="000000"/>
              </a:solidFill>
              <a:prstDash val="solid"/>
            </a:ln>
          </c:spPr>
          <c:cat>
            <c:numRef>
              <c:f>Sheet1!$B$1:$G$1</c:f>
              <c:numCache>
                <c:formatCode>General</c:formatCode>
                <c:ptCount val="6"/>
                <c:pt idx="0">
                  <c:v>2010</c:v>
                </c:pt>
                <c:pt idx="1">
                  <c:v>2011</c:v>
                </c:pt>
                <c:pt idx="2">
                  <c:v>2012</c:v>
                </c:pt>
                <c:pt idx="3">
                  <c:v>2013</c:v>
                </c:pt>
                <c:pt idx="4">
                  <c:v>2014</c:v>
                </c:pt>
                <c:pt idx="5">
                  <c:v>2015</c:v>
                </c:pt>
              </c:numCache>
            </c:numRef>
          </c:cat>
          <c:val>
            <c:numRef>
              <c:f>Sheet1!$B$3:$G$3</c:f>
              <c:numCache>
                <c:formatCode>General</c:formatCode>
                <c:ptCount val="6"/>
                <c:pt idx="1">
                  <c:v>1</c:v>
                </c:pt>
                <c:pt idx="2">
                  <c:v>5</c:v>
                </c:pt>
                <c:pt idx="3">
                  <c:v>4</c:v>
                </c:pt>
                <c:pt idx="4">
                  <c:v>7</c:v>
                </c:pt>
                <c:pt idx="5">
                  <c:v>33</c:v>
                </c:pt>
              </c:numCache>
            </c:numRef>
          </c:val>
        </c:ser>
        <c:ser>
          <c:idx val="2"/>
          <c:order val="2"/>
          <c:tx>
            <c:strRef>
              <c:f>Sheet1!$A$4</c:f>
              <c:strCache>
                <c:ptCount val="1"/>
                <c:pt idx="0">
                  <c:v>миграционный отток за год</c:v>
                </c:pt>
              </c:strCache>
            </c:strRef>
          </c:tx>
          <c:spPr>
            <a:gradFill rotWithShape="0">
              <a:gsLst>
                <a:gs pos="0">
                  <a:srgbClr val="FFFF99">
                    <a:gamma/>
                    <a:shade val="85098"/>
                    <a:invGamma/>
                  </a:srgbClr>
                </a:gs>
                <a:gs pos="50000">
                  <a:srgbClr val="FFFF99"/>
                </a:gs>
                <a:gs pos="100000">
                  <a:srgbClr val="FFFF99">
                    <a:gamma/>
                    <a:shade val="85098"/>
                    <a:invGamma/>
                  </a:srgbClr>
                </a:gs>
              </a:gsLst>
              <a:lin ang="5400000" scaled="1"/>
            </a:gradFill>
            <a:ln w="12675">
              <a:solidFill>
                <a:srgbClr val="000000"/>
              </a:solidFill>
              <a:prstDash val="solid"/>
            </a:ln>
          </c:spPr>
          <c:dLbls>
            <c:spPr>
              <a:noFill/>
              <a:ln w="25350">
                <a:noFill/>
              </a:ln>
            </c:spPr>
            <c:txPr>
              <a:bodyPr/>
              <a:lstStyle/>
              <a:p>
                <a:pPr>
                  <a:defRPr sz="1747" b="1" i="0" u="none" strike="noStrike" baseline="0">
                    <a:solidFill>
                      <a:srgbClr val="000000"/>
                    </a:solidFill>
                    <a:latin typeface="Arial Cyr"/>
                    <a:ea typeface="Arial Cyr"/>
                    <a:cs typeface="Arial Cyr"/>
                  </a:defRPr>
                </a:pPr>
                <a:endParaRPr lang="ru-RU"/>
              </a:p>
            </c:txPr>
            <c:showVal val="1"/>
          </c:dLbls>
          <c:cat>
            <c:numRef>
              <c:f>Sheet1!$B$1:$G$1</c:f>
              <c:numCache>
                <c:formatCode>General</c:formatCode>
                <c:ptCount val="6"/>
                <c:pt idx="0">
                  <c:v>2010</c:v>
                </c:pt>
                <c:pt idx="1">
                  <c:v>2011</c:v>
                </c:pt>
                <c:pt idx="2">
                  <c:v>2012</c:v>
                </c:pt>
                <c:pt idx="3">
                  <c:v>2013</c:v>
                </c:pt>
                <c:pt idx="4">
                  <c:v>2014</c:v>
                </c:pt>
                <c:pt idx="5">
                  <c:v>2015</c:v>
                </c:pt>
              </c:numCache>
            </c:numRef>
          </c:cat>
          <c:val>
            <c:numRef>
              <c:f>Sheet1!$B$4:$G$4</c:f>
              <c:numCache>
                <c:formatCode>General</c:formatCode>
                <c:ptCount val="6"/>
                <c:pt idx="0">
                  <c:v>82</c:v>
                </c:pt>
                <c:pt idx="1">
                  <c:v>109</c:v>
                </c:pt>
                <c:pt idx="2">
                  <c:v>169</c:v>
                </c:pt>
                <c:pt idx="3">
                  <c:v>200</c:v>
                </c:pt>
                <c:pt idx="4">
                  <c:v>196</c:v>
                </c:pt>
                <c:pt idx="5">
                  <c:v>76</c:v>
                </c:pt>
              </c:numCache>
            </c:numRef>
          </c:val>
        </c:ser>
        <c:gapDepth val="0"/>
        <c:shape val="box"/>
        <c:axId val="109086976"/>
        <c:axId val="109719936"/>
        <c:axId val="0"/>
      </c:bar3DChart>
      <c:catAx>
        <c:axId val="109086976"/>
        <c:scaling>
          <c:orientation val="minMax"/>
        </c:scaling>
        <c:axPos val="b"/>
        <c:numFmt formatCode="General" sourceLinked="1"/>
        <c:tickLblPos val="nextTo"/>
        <c:spPr>
          <a:ln w="3169">
            <a:solidFill>
              <a:srgbClr val="000000"/>
            </a:solidFill>
            <a:prstDash val="solid"/>
          </a:ln>
        </c:spPr>
        <c:txPr>
          <a:bodyPr rot="0" vert="horz"/>
          <a:lstStyle/>
          <a:p>
            <a:pPr>
              <a:defRPr sz="1297" b="1" i="0" u="none" strike="noStrike" baseline="0">
                <a:solidFill>
                  <a:srgbClr val="000000"/>
                </a:solidFill>
                <a:latin typeface="Arial Cyr"/>
                <a:ea typeface="Arial Cyr"/>
                <a:cs typeface="Arial Cyr"/>
              </a:defRPr>
            </a:pPr>
            <a:endParaRPr lang="ru-RU"/>
          </a:p>
        </c:txPr>
        <c:crossAx val="109719936"/>
        <c:crosses val="autoZero"/>
        <c:auto val="1"/>
        <c:lblAlgn val="ctr"/>
        <c:lblOffset val="100"/>
        <c:tickLblSkip val="1"/>
        <c:tickMarkSkip val="1"/>
      </c:catAx>
      <c:valAx>
        <c:axId val="109719936"/>
        <c:scaling>
          <c:orientation val="minMax"/>
        </c:scaling>
        <c:axPos val="l"/>
        <c:majorGridlines>
          <c:spPr>
            <a:ln w="3169">
              <a:solidFill>
                <a:srgbClr val="000000"/>
              </a:solidFill>
              <a:prstDash val="solid"/>
            </a:ln>
          </c:spPr>
        </c:majorGridlines>
        <c:numFmt formatCode="General" sourceLinked="1"/>
        <c:tickLblPos val="nextTo"/>
        <c:spPr>
          <a:ln w="3169">
            <a:solidFill>
              <a:srgbClr val="000000"/>
            </a:solidFill>
            <a:prstDash val="solid"/>
          </a:ln>
        </c:spPr>
        <c:txPr>
          <a:bodyPr rot="0" vert="horz"/>
          <a:lstStyle/>
          <a:p>
            <a:pPr>
              <a:defRPr sz="1073" b="1" i="0" u="none" strike="noStrike" baseline="0">
                <a:solidFill>
                  <a:srgbClr val="000000"/>
                </a:solidFill>
                <a:latin typeface="Arial Cyr"/>
                <a:ea typeface="Arial Cyr"/>
                <a:cs typeface="Arial Cyr"/>
              </a:defRPr>
            </a:pPr>
            <a:endParaRPr lang="ru-RU"/>
          </a:p>
        </c:txPr>
        <c:crossAx val="109086976"/>
        <c:crosses val="autoZero"/>
        <c:crossBetween val="between"/>
        <c:majorUnit val="200"/>
        <c:minorUnit val="50"/>
      </c:valAx>
      <c:spPr>
        <a:noFill/>
        <a:ln w="25350">
          <a:noFill/>
        </a:ln>
      </c:spPr>
    </c:plotArea>
    <c:legend>
      <c:legendPos val="b"/>
      <c:legendEntry>
        <c:idx val="0"/>
        <c:txPr>
          <a:bodyPr/>
          <a:lstStyle/>
          <a:p>
            <a:pPr>
              <a:defRPr sz="1098" b="1" i="0" u="none" strike="noStrike" baseline="0">
                <a:solidFill>
                  <a:srgbClr val="000000"/>
                </a:solidFill>
                <a:latin typeface="Arial Cyr"/>
                <a:ea typeface="Arial Cyr"/>
                <a:cs typeface="Arial Cyr"/>
              </a:defRPr>
            </a:pPr>
            <a:endParaRPr lang="ru-RU"/>
          </a:p>
        </c:txPr>
      </c:legendEntry>
      <c:legendEntry>
        <c:idx val="1"/>
        <c:delete val="1"/>
      </c:legendEntry>
      <c:legendEntry>
        <c:idx val="2"/>
        <c:txPr>
          <a:bodyPr/>
          <a:lstStyle/>
          <a:p>
            <a:pPr>
              <a:defRPr sz="1098" b="1" i="0" u="none" strike="noStrike" baseline="0">
                <a:solidFill>
                  <a:srgbClr val="000000"/>
                </a:solidFill>
                <a:latin typeface="Arial Cyr"/>
                <a:ea typeface="Arial Cyr"/>
                <a:cs typeface="Arial Cyr"/>
              </a:defRPr>
            </a:pPr>
            <a:endParaRPr lang="ru-RU"/>
          </a:p>
        </c:txPr>
      </c:legendEntry>
      <c:layout>
        <c:manualLayout>
          <c:xMode val="edge"/>
          <c:yMode val="edge"/>
          <c:x val="8.15660685154979E-2"/>
          <c:y val="0.92443324937027649"/>
          <c:w val="0.83523654159869498"/>
          <c:h val="6.8010075566750636E-2"/>
        </c:manualLayout>
      </c:layout>
      <c:spPr>
        <a:noFill/>
        <a:ln w="3169">
          <a:solidFill>
            <a:srgbClr val="000000"/>
          </a:solidFill>
          <a:prstDash val="solid"/>
        </a:ln>
      </c:spPr>
      <c:txPr>
        <a:bodyPr/>
        <a:lstStyle/>
        <a:p>
          <a:pPr>
            <a:defRPr sz="1327"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747" b="1" i="0" u="none" strike="noStrike" baseline="0">
          <a:solidFill>
            <a:srgbClr val="000000"/>
          </a:solidFill>
          <a:latin typeface="Arial Cyr"/>
          <a:ea typeface="Arial Cyr"/>
          <a:cs typeface="Arial Cyr"/>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300" b="1" i="0" u="none" strike="noStrike" baseline="0">
                <a:solidFill>
                  <a:srgbClr val="000000"/>
                </a:solidFill>
                <a:latin typeface="Arial Cyr"/>
                <a:ea typeface="Arial Cyr"/>
                <a:cs typeface="Arial Cyr"/>
              </a:defRPr>
            </a:pPr>
            <a:r>
              <a:rPr lang="ru-RU" sz="1300" baseline="0"/>
              <a:t>Заготовка древесины и производство лесоматериалов (тыс.куб.метров)</a:t>
            </a:r>
          </a:p>
        </c:rich>
      </c:tx>
      <c:layout>
        <c:manualLayout>
          <c:xMode val="edge"/>
          <c:yMode val="edge"/>
          <c:x val="0.16"/>
          <c:y val="7.8631921824104306E-2"/>
        </c:manualLayout>
      </c:layout>
      <c:spPr>
        <a:noFill/>
        <a:ln w="31700">
          <a:noFill/>
        </a:ln>
      </c:spPr>
    </c:title>
    <c:plotArea>
      <c:layout>
        <c:manualLayout>
          <c:layoutTarget val="inner"/>
          <c:xMode val="edge"/>
          <c:yMode val="edge"/>
          <c:x val="9.0909090909091064E-2"/>
          <c:y val="0.24000000000000021"/>
          <c:w val="0.82000000000000062"/>
          <c:h val="0.5675"/>
        </c:manualLayout>
      </c:layout>
      <c:lineChart>
        <c:grouping val="stacked"/>
        <c:ser>
          <c:idx val="0"/>
          <c:order val="0"/>
          <c:tx>
            <c:strRef>
              <c:f>Sheet1!$A$2</c:f>
              <c:strCache>
                <c:ptCount val="1"/>
                <c:pt idx="0">
                  <c:v>лесоматериалы</c:v>
                </c:pt>
              </c:strCache>
            </c:strRef>
          </c:tx>
          <c:spPr>
            <a:ln w="15850">
              <a:solidFill>
                <a:srgbClr val="000080"/>
              </a:solidFill>
              <a:prstDash val="solid"/>
            </a:ln>
          </c:spPr>
          <c:marker>
            <c:symbol val="diamond"/>
            <c:size val="6"/>
            <c:spPr>
              <a:solidFill>
                <a:srgbClr val="000080"/>
              </a:solidFill>
              <a:ln>
                <a:solidFill>
                  <a:srgbClr val="000080"/>
                </a:solidFill>
                <a:prstDash val="solid"/>
              </a:ln>
            </c:spPr>
          </c:marker>
          <c:cat>
            <c:numRef>
              <c:f>Sheet1!$B$1:$H$1</c:f>
              <c:numCache>
                <c:formatCode>General</c:formatCode>
                <c:ptCount val="7"/>
                <c:pt idx="0">
                  <c:v>2009</c:v>
                </c:pt>
                <c:pt idx="1">
                  <c:v>2010</c:v>
                </c:pt>
                <c:pt idx="2">
                  <c:v>2011</c:v>
                </c:pt>
                <c:pt idx="3">
                  <c:v>2012</c:v>
                </c:pt>
                <c:pt idx="4">
                  <c:v>2013</c:v>
                </c:pt>
                <c:pt idx="5">
                  <c:v>2014</c:v>
                </c:pt>
                <c:pt idx="6">
                  <c:v>2015</c:v>
                </c:pt>
              </c:numCache>
            </c:numRef>
          </c:cat>
          <c:val>
            <c:numRef>
              <c:f>Sheet1!$B$2:$H$2</c:f>
              <c:numCache>
                <c:formatCode>General</c:formatCode>
                <c:ptCount val="7"/>
                <c:pt idx="0">
                  <c:v>1.1000000000000001</c:v>
                </c:pt>
                <c:pt idx="1">
                  <c:v>2</c:v>
                </c:pt>
                <c:pt idx="2">
                  <c:v>1</c:v>
                </c:pt>
                <c:pt idx="3">
                  <c:v>1.7</c:v>
                </c:pt>
                <c:pt idx="4">
                  <c:v>1.4</c:v>
                </c:pt>
                <c:pt idx="5">
                  <c:v>1.2</c:v>
                </c:pt>
                <c:pt idx="6">
                  <c:v>1.35</c:v>
                </c:pt>
              </c:numCache>
            </c:numRef>
          </c:val>
        </c:ser>
        <c:ser>
          <c:idx val="1"/>
          <c:order val="1"/>
          <c:tx>
            <c:strRef>
              <c:f>Sheet1!$A$3</c:f>
              <c:strCache>
                <c:ptCount val="1"/>
                <c:pt idx="0">
                  <c:v>заготовка древесины</c:v>
                </c:pt>
              </c:strCache>
            </c:strRef>
          </c:tx>
          <c:spPr>
            <a:ln w="15850">
              <a:solidFill>
                <a:srgbClr val="FF00FF"/>
              </a:solidFill>
              <a:prstDash val="solid"/>
            </a:ln>
          </c:spPr>
          <c:marker>
            <c:symbol val="square"/>
            <c:size val="6"/>
            <c:spPr>
              <a:solidFill>
                <a:srgbClr val="FF00FF"/>
              </a:solidFill>
              <a:ln>
                <a:solidFill>
                  <a:srgbClr val="FF00FF"/>
                </a:solidFill>
                <a:prstDash val="solid"/>
              </a:ln>
            </c:spPr>
          </c:marker>
          <c:cat>
            <c:numRef>
              <c:f>Sheet1!$B$1:$H$1</c:f>
              <c:numCache>
                <c:formatCode>General</c:formatCode>
                <c:ptCount val="7"/>
                <c:pt idx="0">
                  <c:v>2009</c:v>
                </c:pt>
                <c:pt idx="1">
                  <c:v>2010</c:v>
                </c:pt>
                <c:pt idx="2">
                  <c:v>2011</c:v>
                </c:pt>
                <c:pt idx="3">
                  <c:v>2012</c:v>
                </c:pt>
                <c:pt idx="4">
                  <c:v>2013</c:v>
                </c:pt>
                <c:pt idx="5">
                  <c:v>2014</c:v>
                </c:pt>
                <c:pt idx="6">
                  <c:v>2015</c:v>
                </c:pt>
              </c:numCache>
            </c:numRef>
          </c:cat>
          <c:val>
            <c:numRef>
              <c:f>Sheet1!$B$3:$H$3</c:f>
              <c:numCache>
                <c:formatCode>General</c:formatCode>
                <c:ptCount val="7"/>
                <c:pt idx="0">
                  <c:v>5.6</c:v>
                </c:pt>
                <c:pt idx="1">
                  <c:v>6.8</c:v>
                </c:pt>
                <c:pt idx="2">
                  <c:v>18.3</c:v>
                </c:pt>
                <c:pt idx="3">
                  <c:v>18.100000000000001</c:v>
                </c:pt>
                <c:pt idx="4">
                  <c:v>6</c:v>
                </c:pt>
                <c:pt idx="5">
                  <c:v>2.9</c:v>
                </c:pt>
                <c:pt idx="6">
                  <c:v>3.07</c:v>
                </c:pt>
              </c:numCache>
            </c:numRef>
          </c:val>
        </c:ser>
        <c:marker val="1"/>
        <c:axId val="216763776"/>
        <c:axId val="216770048"/>
      </c:lineChart>
      <c:catAx>
        <c:axId val="216763776"/>
        <c:scaling>
          <c:orientation val="minMax"/>
        </c:scaling>
        <c:axPos val="b"/>
        <c:numFmt formatCode="General" sourceLinked="1"/>
        <c:tickLblPos val="nextTo"/>
        <c:spPr>
          <a:ln w="3962">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216770048"/>
        <c:crosses val="autoZero"/>
        <c:auto val="1"/>
        <c:lblAlgn val="ctr"/>
        <c:lblOffset val="100"/>
        <c:tickLblSkip val="1"/>
        <c:tickMarkSkip val="1"/>
      </c:catAx>
      <c:valAx>
        <c:axId val="216770048"/>
        <c:scaling>
          <c:orientation val="minMax"/>
          <c:max val="20"/>
          <c:min val="0"/>
        </c:scaling>
        <c:axPos val="l"/>
        <c:majorGridlines>
          <c:spPr>
            <a:ln w="3962">
              <a:solidFill>
                <a:srgbClr val="000000"/>
              </a:solidFill>
              <a:prstDash val="solid"/>
            </a:ln>
          </c:spPr>
        </c:majorGridlines>
        <c:numFmt formatCode="General" sourceLinked="1"/>
        <c:tickLblPos val="nextTo"/>
        <c:spPr>
          <a:ln w="3962">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16763776"/>
        <c:crosses val="autoZero"/>
        <c:crossBetween val="between"/>
        <c:majorUnit val="2"/>
        <c:minorUnit val="0.5"/>
      </c:valAx>
      <c:spPr>
        <a:gradFill rotWithShape="0">
          <a:gsLst>
            <a:gs pos="0">
              <a:srgbClr val="CCFFCC"/>
            </a:gs>
            <a:gs pos="100000">
              <a:srgbClr val="00FF00"/>
            </a:gs>
          </a:gsLst>
          <a:lin ang="5400000" scaled="1"/>
        </a:gradFill>
        <a:ln w="15850">
          <a:solidFill>
            <a:srgbClr val="808080"/>
          </a:solidFill>
          <a:prstDash val="solid"/>
        </a:ln>
      </c:spPr>
    </c:plotArea>
    <c:legend>
      <c:legendPos val="b"/>
      <c:spPr>
        <a:noFill/>
        <a:ln w="3962">
          <a:solidFill>
            <a:srgbClr val="000000"/>
          </a:solidFill>
          <a:prstDash val="solid"/>
        </a:ln>
      </c:spPr>
      <c:txPr>
        <a:bodyPr/>
        <a:lstStyle/>
        <a:p>
          <a:pPr>
            <a:defRPr sz="1148" b="1" i="0" u="none" strike="noStrike" baseline="0">
              <a:solidFill>
                <a:srgbClr val="000000"/>
              </a:solidFill>
              <a:latin typeface="Arial Cyr"/>
              <a:ea typeface="Arial Cyr"/>
              <a:cs typeface="Arial Cyr"/>
            </a:defRPr>
          </a:pPr>
          <a:endParaRPr lang="ru-RU"/>
        </a:p>
      </c:txPr>
    </c:legend>
    <c:plotVisOnly val="1"/>
    <c:dispBlanksAs val="zero"/>
  </c:chart>
  <c:spPr>
    <a:noFill/>
    <a:ln>
      <a:noFill/>
    </a:ln>
  </c:spPr>
  <c:txPr>
    <a:bodyPr/>
    <a:lstStyle/>
    <a:p>
      <a:pPr>
        <a:defRPr sz="1966" b="1" i="0" u="none" strike="noStrike" baseline="0">
          <a:solidFill>
            <a:srgbClr val="000000"/>
          </a:solidFill>
          <a:latin typeface="Arial Cyr"/>
          <a:ea typeface="Arial Cyr"/>
          <a:cs typeface="Arial Cyr"/>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7.4324324324324453E-2"/>
          <c:y val="0"/>
          <c:w val="0.68074324324324365"/>
          <c:h val="0.91878172588832452"/>
        </c:manualLayout>
      </c:layout>
      <c:barChart>
        <c:barDir val="bar"/>
        <c:grouping val="clustered"/>
        <c:ser>
          <c:idx val="0"/>
          <c:order val="0"/>
          <c:tx>
            <c:strRef>
              <c:f>Sheet1!$A$2</c:f>
              <c:strCache>
                <c:ptCount val="1"/>
                <c:pt idx="0">
                  <c:v>Мясо (тонн)</c:v>
                </c:pt>
              </c:strCache>
            </c:strRef>
          </c:tx>
          <c:spPr>
            <a:solidFill>
              <a:srgbClr val="FF00FF"/>
            </a:solidFill>
            <a:ln w="31712">
              <a:noFill/>
            </a:ln>
            <a:scene3d>
              <a:camera prst="orthographicFront"/>
              <a:lightRig rig="threePt" dir="t"/>
            </a:scene3d>
            <a:sp3d>
              <a:bevelT/>
            </a:sp3d>
          </c:spPr>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Sheet1!$B$2:$I$2</c:f>
              <c:numCache>
                <c:formatCode>General</c:formatCode>
                <c:ptCount val="8"/>
                <c:pt idx="0">
                  <c:v>22.6</c:v>
                </c:pt>
                <c:pt idx="1">
                  <c:v>26.8</c:v>
                </c:pt>
                <c:pt idx="2">
                  <c:v>36.200000000000003</c:v>
                </c:pt>
                <c:pt idx="3">
                  <c:v>46</c:v>
                </c:pt>
                <c:pt idx="4">
                  <c:v>49</c:v>
                </c:pt>
                <c:pt idx="5">
                  <c:v>41</c:v>
                </c:pt>
                <c:pt idx="6">
                  <c:v>41.4</c:v>
                </c:pt>
                <c:pt idx="7">
                  <c:v>45.4</c:v>
                </c:pt>
              </c:numCache>
            </c:numRef>
          </c:val>
        </c:ser>
        <c:ser>
          <c:idx val="1"/>
          <c:order val="1"/>
          <c:tx>
            <c:strRef>
              <c:f>Sheet1!$A$3</c:f>
              <c:strCache>
                <c:ptCount val="1"/>
                <c:pt idx="0">
                  <c:v>Молоко (тонн)</c:v>
                </c:pt>
              </c:strCache>
            </c:strRef>
          </c:tx>
          <c:spPr>
            <a:solidFill>
              <a:srgbClr val="99CCFF"/>
            </a:solidFill>
            <a:ln w="31712">
              <a:noFill/>
            </a:ln>
            <a:scene3d>
              <a:camera prst="orthographicFront"/>
              <a:lightRig rig="threePt" dir="t"/>
            </a:scene3d>
            <a:sp3d>
              <a:bevelT/>
            </a:sp3d>
          </c:spPr>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Sheet1!$B$3:$I$3</c:f>
              <c:numCache>
                <c:formatCode>General</c:formatCode>
                <c:ptCount val="8"/>
                <c:pt idx="0">
                  <c:v>167.8</c:v>
                </c:pt>
                <c:pt idx="1">
                  <c:v>125.5</c:v>
                </c:pt>
                <c:pt idx="2">
                  <c:v>112.9</c:v>
                </c:pt>
                <c:pt idx="3">
                  <c:v>123</c:v>
                </c:pt>
                <c:pt idx="4">
                  <c:v>64.599999999999994</c:v>
                </c:pt>
                <c:pt idx="5">
                  <c:v>60.4</c:v>
                </c:pt>
                <c:pt idx="6">
                  <c:v>66.5</c:v>
                </c:pt>
                <c:pt idx="7">
                  <c:v>69.7</c:v>
                </c:pt>
              </c:numCache>
            </c:numRef>
          </c:val>
        </c:ser>
        <c:ser>
          <c:idx val="2"/>
          <c:order val="2"/>
          <c:tx>
            <c:strRef>
              <c:f>Sheet1!$A$4</c:f>
              <c:strCache>
                <c:ptCount val="1"/>
                <c:pt idx="0">
                  <c:v>Яйцо (тыс.штук)</c:v>
                </c:pt>
              </c:strCache>
            </c:strRef>
          </c:tx>
          <c:spPr>
            <a:solidFill>
              <a:srgbClr val="FFFF00"/>
            </a:solidFill>
            <a:ln w="31712">
              <a:noFill/>
            </a:ln>
            <a:scene3d>
              <a:camera prst="orthographicFront"/>
              <a:lightRig rig="threePt" dir="t"/>
            </a:scene3d>
            <a:sp3d>
              <a:bevelT/>
            </a:sp3d>
          </c:spPr>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Sheet1!$B$4:$I$4</c:f>
              <c:numCache>
                <c:formatCode>General</c:formatCode>
                <c:ptCount val="8"/>
                <c:pt idx="0">
                  <c:v>627.1</c:v>
                </c:pt>
                <c:pt idx="1">
                  <c:v>760</c:v>
                </c:pt>
                <c:pt idx="2">
                  <c:v>847.8</c:v>
                </c:pt>
                <c:pt idx="3">
                  <c:v>893</c:v>
                </c:pt>
                <c:pt idx="4">
                  <c:v>814.5</c:v>
                </c:pt>
                <c:pt idx="5">
                  <c:v>666</c:v>
                </c:pt>
                <c:pt idx="6">
                  <c:v>719</c:v>
                </c:pt>
                <c:pt idx="7">
                  <c:v>724</c:v>
                </c:pt>
              </c:numCache>
            </c:numRef>
          </c:val>
        </c:ser>
        <c:ser>
          <c:idx val="3"/>
          <c:order val="3"/>
          <c:tx>
            <c:strRef>
              <c:f>Sheet1!$A$5</c:f>
              <c:strCache>
                <c:ptCount val="1"/>
                <c:pt idx="0">
                  <c:v>Картофель (тонн)</c:v>
                </c:pt>
              </c:strCache>
            </c:strRef>
          </c:tx>
          <c:spPr>
            <a:solidFill>
              <a:srgbClr val="CC99FF"/>
            </a:solidFill>
            <a:ln w="31712">
              <a:noFill/>
            </a:ln>
            <a:scene3d>
              <a:camera prst="orthographicFront"/>
              <a:lightRig rig="threePt" dir="t"/>
            </a:scene3d>
            <a:sp3d>
              <a:bevelT/>
            </a:sp3d>
          </c:spPr>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Sheet1!$B$5:$I$5</c:f>
              <c:numCache>
                <c:formatCode>General</c:formatCode>
                <c:ptCount val="8"/>
                <c:pt idx="0">
                  <c:v>1442</c:v>
                </c:pt>
                <c:pt idx="1">
                  <c:v>1400</c:v>
                </c:pt>
                <c:pt idx="2">
                  <c:v>1141</c:v>
                </c:pt>
                <c:pt idx="3">
                  <c:v>1078</c:v>
                </c:pt>
                <c:pt idx="4">
                  <c:v>1166.5999999999999</c:v>
                </c:pt>
                <c:pt idx="5">
                  <c:v>1133</c:v>
                </c:pt>
                <c:pt idx="6">
                  <c:v>1910</c:v>
                </c:pt>
                <c:pt idx="7">
                  <c:v>1400</c:v>
                </c:pt>
              </c:numCache>
            </c:numRef>
          </c:val>
        </c:ser>
        <c:ser>
          <c:idx val="4"/>
          <c:order val="4"/>
          <c:tx>
            <c:strRef>
              <c:f>Sheet1!$A$6</c:f>
              <c:strCache>
                <c:ptCount val="1"/>
                <c:pt idx="0">
                  <c:v>Овощи (тонн)</c:v>
                </c:pt>
              </c:strCache>
            </c:strRef>
          </c:tx>
          <c:spPr>
            <a:solidFill>
              <a:srgbClr val="00FF00"/>
            </a:solidFill>
            <a:ln w="31712">
              <a:noFill/>
            </a:ln>
            <a:scene3d>
              <a:camera prst="orthographicFront"/>
              <a:lightRig rig="threePt" dir="t"/>
            </a:scene3d>
            <a:sp3d>
              <a:bevelT/>
            </a:sp3d>
          </c:spPr>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Sheet1!$B$6:$I$6</c:f>
              <c:numCache>
                <c:formatCode>General</c:formatCode>
                <c:ptCount val="8"/>
                <c:pt idx="0">
                  <c:v>171</c:v>
                </c:pt>
                <c:pt idx="1">
                  <c:v>124.5</c:v>
                </c:pt>
                <c:pt idx="2">
                  <c:v>116</c:v>
                </c:pt>
                <c:pt idx="3">
                  <c:v>112</c:v>
                </c:pt>
                <c:pt idx="4">
                  <c:v>125.3</c:v>
                </c:pt>
                <c:pt idx="5">
                  <c:v>115</c:v>
                </c:pt>
                <c:pt idx="6">
                  <c:v>116</c:v>
                </c:pt>
                <c:pt idx="7">
                  <c:v>117</c:v>
                </c:pt>
              </c:numCache>
            </c:numRef>
          </c:val>
        </c:ser>
        <c:gapWidth val="170"/>
        <c:overlap val="-40"/>
        <c:axId val="216838528"/>
        <c:axId val="216840064"/>
      </c:barChart>
      <c:catAx>
        <c:axId val="216838528"/>
        <c:scaling>
          <c:orientation val="minMax"/>
        </c:scaling>
        <c:axPos val="l"/>
        <c:numFmt formatCode="General" sourceLinked="1"/>
        <c:tickLblPos val="nextTo"/>
        <c:spPr>
          <a:ln w="3964">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ru-RU"/>
          </a:p>
        </c:txPr>
        <c:crossAx val="216840064"/>
        <c:crosses val="autoZero"/>
        <c:auto val="1"/>
        <c:lblAlgn val="ctr"/>
        <c:lblOffset val="100"/>
        <c:tickLblSkip val="1"/>
        <c:tickMarkSkip val="1"/>
      </c:catAx>
      <c:valAx>
        <c:axId val="216840064"/>
        <c:scaling>
          <c:orientation val="minMax"/>
        </c:scaling>
        <c:axPos val="b"/>
        <c:numFmt formatCode="General" sourceLinked="1"/>
        <c:tickLblPos val="nextTo"/>
        <c:spPr>
          <a:ln w="3964">
            <a:solidFill>
              <a:srgbClr val="000000"/>
            </a:solidFill>
            <a:prstDash val="solid"/>
          </a:ln>
        </c:spPr>
        <c:txPr>
          <a:bodyPr rot="0" vert="horz"/>
          <a:lstStyle/>
          <a:p>
            <a:pPr>
              <a:defRPr sz="1280" b="0" i="0" u="none" strike="noStrike" baseline="0">
                <a:solidFill>
                  <a:srgbClr val="000000"/>
                </a:solidFill>
                <a:latin typeface="Arial"/>
                <a:ea typeface="Arial"/>
                <a:cs typeface="Arial"/>
              </a:defRPr>
            </a:pPr>
            <a:endParaRPr lang="ru-RU"/>
          </a:p>
        </c:txPr>
        <c:crossAx val="216838528"/>
        <c:crosses val="autoZero"/>
        <c:crossBetween val="between"/>
      </c:valAx>
      <c:spPr>
        <a:solidFill>
          <a:srgbClr val="FFFFFF"/>
        </a:solidFill>
        <a:ln w="31712">
          <a:noFill/>
        </a:ln>
      </c:spPr>
    </c:plotArea>
    <c:legend>
      <c:legendPos val="r"/>
      <c:layout>
        <c:manualLayout>
          <c:xMode val="edge"/>
          <c:yMode val="edge"/>
          <c:x val="0.61121733677095658"/>
          <c:y val="0.32741116751269123"/>
          <c:w val="0.37864748101177631"/>
          <c:h val="0.26903553299492383"/>
        </c:manualLayout>
      </c:layout>
      <c:spPr>
        <a:solidFill>
          <a:srgbClr val="FFFFFF"/>
        </a:solidFill>
        <a:ln w="3964">
          <a:solidFill>
            <a:srgbClr val="000000"/>
          </a:solidFill>
          <a:prstDash val="solid"/>
        </a:ln>
      </c:spPr>
      <c:txPr>
        <a:bodyPr/>
        <a:lstStyle/>
        <a:p>
          <a:pPr>
            <a:defRPr sz="1100" b="0" i="0" u="none" strike="noStrike" baseline="0">
              <a:solidFill>
                <a:srgbClr val="000000"/>
              </a:solidFill>
              <a:latin typeface="Arial"/>
              <a:ea typeface="Arial"/>
              <a:cs typeface="Arial"/>
            </a:defRPr>
          </a:pPr>
          <a:endParaRPr lang="ru-RU"/>
        </a:p>
      </c:txPr>
    </c:legend>
    <c:plotVisOnly val="1"/>
    <c:dispBlanksAs val="gap"/>
  </c:chart>
  <c:spPr>
    <a:noFill/>
    <a:ln>
      <a:noFill/>
    </a:ln>
  </c:spPr>
  <c:txPr>
    <a:bodyPr/>
    <a:lstStyle/>
    <a:p>
      <a:pPr>
        <a:defRPr sz="1248" b="0" i="0" u="none" strike="noStrike" baseline="0">
          <a:solidFill>
            <a:srgbClr val="000000"/>
          </a:solidFill>
          <a:latin typeface="Arial"/>
          <a:ea typeface="Arial"/>
          <a:cs typeface="Arial"/>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0"/>
    </c:view3D>
    <c:plotArea>
      <c:layout>
        <c:manualLayout>
          <c:layoutTarget val="inner"/>
          <c:xMode val="edge"/>
          <c:yMode val="edge"/>
          <c:x val="0.13989637305699498"/>
          <c:y val="0.24175824175824193"/>
          <c:w val="0.4041450777202073"/>
          <c:h val="0.51648351648351665"/>
        </c:manualLayout>
      </c:layout>
      <c:pie3DChart>
        <c:varyColors val="1"/>
        <c:ser>
          <c:idx val="0"/>
          <c:order val="0"/>
          <c:tx>
            <c:strRef>
              <c:f>Sheet1!$A$2</c:f>
              <c:strCache>
                <c:ptCount val="1"/>
                <c:pt idx="0">
                  <c:v>Восток</c:v>
                </c:pt>
              </c:strCache>
            </c:strRef>
          </c:tx>
          <c:spPr>
            <a:solidFill>
              <a:srgbClr val="9999FF"/>
            </a:solidFill>
            <a:ln w="12700">
              <a:solidFill>
                <a:srgbClr val="000000"/>
              </a:solidFill>
              <a:prstDash val="solid"/>
            </a:ln>
          </c:spPr>
          <c:explosion val="25"/>
          <c:dPt>
            <c:idx val="1"/>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Pt>
            <c:idx val="5"/>
            <c:spPr>
              <a:solidFill>
                <a:srgbClr val="FF8080"/>
              </a:solidFill>
              <a:ln w="12700">
                <a:solidFill>
                  <a:srgbClr val="000000"/>
                </a:solidFill>
                <a:prstDash val="solid"/>
              </a:ln>
            </c:spPr>
          </c:dPt>
          <c:dPt>
            <c:idx val="6"/>
            <c:spPr>
              <a:solidFill>
                <a:srgbClr val="0066CC"/>
              </a:solidFill>
              <a:ln w="12700">
                <a:solidFill>
                  <a:srgbClr val="000000"/>
                </a:solidFill>
                <a:prstDash val="solid"/>
              </a:ln>
            </c:spPr>
          </c:dPt>
          <c:dPt>
            <c:idx val="7"/>
            <c:spPr>
              <a:solidFill>
                <a:srgbClr val="CCCCFF"/>
              </a:soli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showLeaderLines val="1"/>
          </c:dLbls>
          <c:cat>
            <c:strRef>
              <c:f>Sheet1!$B$1:$I$1</c:f>
              <c:strCache>
                <c:ptCount val="8"/>
                <c:pt idx="0">
                  <c:v>розничная торговля</c:v>
                </c:pt>
                <c:pt idx="1">
                  <c:v>розничный рынок</c:v>
                </c:pt>
                <c:pt idx="2">
                  <c:v>нестациорные торговые объекты</c:v>
                </c:pt>
                <c:pt idx="3">
                  <c:v>оптовая торговля</c:v>
                </c:pt>
                <c:pt idx="4">
                  <c:v>общественное питание</c:v>
                </c:pt>
                <c:pt idx="5">
                  <c:v>пищевая промышленность</c:v>
                </c:pt>
                <c:pt idx="6">
                  <c:v>гостиничное хозяйство</c:v>
                </c:pt>
                <c:pt idx="7">
                  <c:v>бытовые услуги</c:v>
                </c:pt>
              </c:strCache>
            </c:strRef>
          </c:cat>
          <c:val>
            <c:numRef>
              <c:f>Sheet1!$B$2:$I$2</c:f>
              <c:numCache>
                <c:formatCode>General</c:formatCode>
                <c:ptCount val="8"/>
                <c:pt idx="0">
                  <c:v>88</c:v>
                </c:pt>
                <c:pt idx="1">
                  <c:v>1</c:v>
                </c:pt>
                <c:pt idx="2">
                  <c:v>12</c:v>
                </c:pt>
                <c:pt idx="3">
                  <c:v>2</c:v>
                </c:pt>
                <c:pt idx="4">
                  <c:v>12</c:v>
                </c:pt>
                <c:pt idx="5">
                  <c:v>12</c:v>
                </c:pt>
                <c:pt idx="6">
                  <c:v>3</c:v>
                </c:pt>
                <c:pt idx="7">
                  <c:v>56</c:v>
                </c:pt>
              </c:numCache>
            </c:numRef>
          </c:val>
        </c:ser>
        <c:ser>
          <c:idx val="1"/>
          <c:order val="1"/>
          <c:tx>
            <c:strRef>
              <c:f>Sheet1!$A$3</c:f>
              <c:strCache>
                <c:ptCount val="1"/>
                <c:pt idx="0">
                  <c:v>Запад</c:v>
                </c:pt>
              </c:strCache>
            </c:strRef>
          </c:tx>
          <c:spPr>
            <a:solidFill>
              <a:srgbClr val="993366"/>
            </a:solidFill>
            <a:ln w="12700">
              <a:solidFill>
                <a:srgbClr val="000000"/>
              </a:solidFill>
              <a:prstDash val="solid"/>
            </a:ln>
          </c:spPr>
          <c:explosion val="25"/>
          <c:dPt>
            <c:idx val="0"/>
            <c:spPr>
              <a:solidFill>
                <a:srgbClr val="9999FF"/>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Pt>
            <c:idx val="5"/>
            <c:spPr>
              <a:solidFill>
                <a:srgbClr val="FF8080"/>
              </a:solidFill>
              <a:ln w="12700">
                <a:solidFill>
                  <a:srgbClr val="000000"/>
                </a:solidFill>
                <a:prstDash val="solid"/>
              </a:ln>
            </c:spPr>
          </c:dPt>
          <c:dPt>
            <c:idx val="6"/>
            <c:spPr>
              <a:solidFill>
                <a:srgbClr val="0066CC"/>
              </a:solidFill>
              <a:ln w="12700">
                <a:solidFill>
                  <a:srgbClr val="000000"/>
                </a:solidFill>
                <a:prstDash val="solid"/>
              </a:ln>
            </c:spPr>
          </c:dPt>
          <c:dPt>
            <c:idx val="7"/>
            <c:spPr>
              <a:solidFill>
                <a:srgbClr val="CCCCFF"/>
              </a:soli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showLeaderLines val="1"/>
          </c:dLbls>
          <c:cat>
            <c:strRef>
              <c:f>Sheet1!$B$1:$I$1</c:f>
              <c:strCache>
                <c:ptCount val="8"/>
                <c:pt idx="0">
                  <c:v>розничная торговля</c:v>
                </c:pt>
                <c:pt idx="1">
                  <c:v>розничный рынок</c:v>
                </c:pt>
                <c:pt idx="2">
                  <c:v>нестациорные торговые объекты</c:v>
                </c:pt>
                <c:pt idx="3">
                  <c:v>оптовая торговля</c:v>
                </c:pt>
                <c:pt idx="4">
                  <c:v>общественное питание</c:v>
                </c:pt>
                <c:pt idx="5">
                  <c:v>пищевая промышленность</c:v>
                </c:pt>
                <c:pt idx="6">
                  <c:v>гостиничное хозяйство</c:v>
                </c:pt>
                <c:pt idx="7">
                  <c:v>бытовые услуги</c:v>
                </c:pt>
              </c:strCache>
            </c:strRef>
          </c:cat>
          <c:val>
            <c:numRef>
              <c:f>Sheet1!$B$3:$I$3</c:f>
              <c:numCache>
                <c:formatCode>General</c:formatCode>
                <c:ptCount val="8"/>
                <c:pt idx="0">
                  <c:v>30.6</c:v>
                </c:pt>
                <c:pt idx="1">
                  <c:v>38.6</c:v>
                </c:pt>
                <c:pt idx="2">
                  <c:v>34.6</c:v>
                </c:pt>
                <c:pt idx="3">
                  <c:v>31.6</c:v>
                </c:pt>
              </c:numCache>
            </c:numRef>
          </c:val>
        </c:ser>
        <c:ser>
          <c:idx val="2"/>
          <c:order val="2"/>
          <c:tx>
            <c:strRef>
              <c:f>Sheet1!$A$4</c:f>
              <c:strCache>
                <c:ptCount val="1"/>
                <c:pt idx="0">
                  <c:v>Север</c:v>
                </c:pt>
              </c:strCache>
            </c:strRef>
          </c:tx>
          <c:spPr>
            <a:solidFill>
              <a:srgbClr val="FFFFCC"/>
            </a:solidFill>
            <a:ln w="12700">
              <a:solidFill>
                <a:srgbClr val="000000"/>
              </a:solidFill>
              <a:prstDash val="solid"/>
            </a:ln>
          </c:spPr>
          <c:explosion val="25"/>
          <c:dPt>
            <c:idx val="0"/>
            <c:spPr>
              <a:solidFill>
                <a:srgbClr val="9999FF"/>
              </a:solidFill>
              <a:ln w="12700">
                <a:solidFill>
                  <a:srgbClr val="000000"/>
                </a:solidFill>
                <a:prstDash val="solid"/>
              </a:ln>
            </c:spPr>
          </c:dPt>
          <c:dPt>
            <c:idx val="1"/>
            <c:spPr>
              <a:solidFill>
                <a:srgbClr val="993366"/>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Pt>
            <c:idx val="5"/>
            <c:spPr>
              <a:solidFill>
                <a:srgbClr val="FF8080"/>
              </a:solidFill>
              <a:ln w="12700">
                <a:solidFill>
                  <a:srgbClr val="000000"/>
                </a:solidFill>
                <a:prstDash val="solid"/>
              </a:ln>
            </c:spPr>
          </c:dPt>
          <c:dPt>
            <c:idx val="6"/>
            <c:spPr>
              <a:solidFill>
                <a:srgbClr val="0066CC"/>
              </a:solidFill>
              <a:ln w="12700">
                <a:solidFill>
                  <a:srgbClr val="000000"/>
                </a:solidFill>
                <a:prstDash val="solid"/>
              </a:ln>
            </c:spPr>
          </c:dPt>
          <c:dPt>
            <c:idx val="7"/>
            <c:spPr>
              <a:solidFill>
                <a:srgbClr val="CCCCFF"/>
              </a:soli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showLeaderLines val="1"/>
          </c:dLbls>
          <c:cat>
            <c:strRef>
              <c:f>Sheet1!$B$1:$I$1</c:f>
              <c:strCache>
                <c:ptCount val="8"/>
                <c:pt idx="0">
                  <c:v>розничная торговля</c:v>
                </c:pt>
                <c:pt idx="1">
                  <c:v>розничный рынок</c:v>
                </c:pt>
                <c:pt idx="2">
                  <c:v>нестациорные торговые объекты</c:v>
                </c:pt>
                <c:pt idx="3">
                  <c:v>оптовая торговля</c:v>
                </c:pt>
                <c:pt idx="4">
                  <c:v>общественное питание</c:v>
                </c:pt>
                <c:pt idx="5">
                  <c:v>пищевая промышленность</c:v>
                </c:pt>
                <c:pt idx="6">
                  <c:v>гостиничное хозяйство</c:v>
                </c:pt>
                <c:pt idx="7">
                  <c:v>бытовые услуги</c:v>
                </c:pt>
              </c:strCache>
            </c:strRef>
          </c:cat>
          <c:val>
            <c:numRef>
              <c:f>Sheet1!$B$4:$I$4</c:f>
              <c:numCache>
                <c:formatCode>General</c:formatCode>
                <c:ptCount val="8"/>
                <c:pt idx="0">
                  <c:v>45.9</c:v>
                </c:pt>
                <c:pt idx="1">
                  <c:v>46.9</c:v>
                </c:pt>
                <c:pt idx="2">
                  <c:v>45</c:v>
                </c:pt>
                <c:pt idx="3">
                  <c:v>43.9</c:v>
                </c:pt>
              </c:numCache>
            </c:numRef>
          </c:val>
        </c:ser>
        <c:dLbls>
          <c:showVal val="1"/>
        </c:dLbls>
      </c:pie3DChart>
      <c:spPr>
        <a:noFill/>
        <a:ln w="25400">
          <a:noFill/>
        </a:ln>
      </c:spPr>
    </c:plotArea>
    <c:legend>
      <c:legendPos val="r"/>
      <c:layout>
        <c:manualLayout>
          <c:xMode val="edge"/>
          <c:yMode val="edge"/>
          <c:x val="0.68566493955094987"/>
          <c:y val="7.6923076923076927E-2"/>
          <c:w val="0.30742659758203844"/>
          <c:h val="0.84065934065934111"/>
        </c:manualLayout>
      </c:layout>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ru-RU"/>
        </a:p>
      </c:txPr>
    </c:legend>
    <c:plotVisOnly val="1"/>
    <c:dispBlanksAs val="zero"/>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7.0491803278688522E-2"/>
          <c:y val="9.8712446351931368E-2"/>
          <c:w val="0.59672131147540985"/>
          <c:h val="0.72961373390557993"/>
        </c:manualLayout>
      </c:layout>
      <c:barChart>
        <c:barDir val="col"/>
        <c:grouping val="clustered"/>
        <c:ser>
          <c:idx val="0"/>
          <c:order val="0"/>
          <c:tx>
            <c:strRef>
              <c:f>Sheet1!$A$2</c:f>
              <c:strCache>
                <c:ptCount val="1"/>
                <c:pt idx="0">
                  <c:v>торговая площадь, занятая под продовольственную группу товаров</c:v>
                </c:pt>
              </c:strCache>
            </c:strRef>
          </c:tx>
          <c:spPr>
            <a:solidFill>
              <a:srgbClr val="9999FF"/>
            </a:solidFill>
            <a:ln w="12707">
              <a:solidFill>
                <a:srgbClr val="000000"/>
              </a:solidFill>
              <a:prstDash val="solid"/>
            </a:ln>
          </c:spPr>
          <c:dLbls>
            <c:spPr>
              <a:noFill/>
              <a:ln w="25414">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Вал</c:v>
                </c:pt>
                <c:pt idx="3">
                  <c:v>с. Ныш</c:v>
                </c:pt>
              </c:strCache>
            </c:strRef>
          </c:cat>
          <c:val>
            <c:numRef>
              <c:f>Sheet1!$B$2:$E$2</c:f>
              <c:numCache>
                <c:formatCode>General</c:formatCode>
                <c:ptCount val="4"/>
                <c:pt idx="0">
                  <c:v>89</c:v>
                </c:pt>
                <c:pt idx="1">
                  <c:v>0</c:v>
                </c:pt>
                <c:pt idx="2">
                  <c:v>0</c:v>
                </c:pt>
                <c:pt idx="3">
                  <c:v>0</c:v>
                </c:pt>
              </c:numCache>
            </c:numRef>
          </c:val>
        </c:ser>
        <c:ser>
          <c:idx val="1"/>
          <c:order val="1"/>
          <c:tx>
            <c:strRef>
              <c:f>Sheet1!$A$3</c:f>
              <c:strCache>
                <c:ptCount val="1"/>
                <c:pt idx="0">
                  <c:v>торговая площадь, занятая под промышленную группу товаров</c:v>
                </c:pt>
              </c:strCache>
            </c:strRef>
          </c:tx>
          <c:spPr>
            <a:solidFill>
              <a:srgbClr val="FF8080"/>
            </a:solidFill>
            <a:ln w="12707">
              <a:solidFill>
                <a:srgbClr val="000000"/>
              </a:solidFill>
              <a:prstDash val="solid"/>
            </a:ln>
          </c:spPr>
          <c:dLbls>
            <c:spPr>
              <a:noFill/>
              <a:ln w="25414">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Вал</c:v>
                </c:pt>
                <c:pt idx="3">
                  <c:v>с. Ныш</c:v>
                </c:pt>
              </c:strCache>
            </c:strRef>
          </c:cat>
          <c:val>
            <c:numRef>
              <c:f>Sheet1!$B$3:$E$3</c:f>
              <c:numCache>
                <c:formatCode>General</c:formatCode>
                <c:ptCount val="4"/>
                <c:pt idx="0">
                  <c:v>331</c:v>
                </c:pt>
                <c:pt idx="1">
                  <c:v>0</c:v>
                </c:pt>
                <c:pt idx="2">
                  <c:v>16</c:v>
                </c:pt>
                <c:pt idx="3">
                  <c:v>40</c:v>
                </c:pt>
              </c:numCache>
            </c:numRef>
          </c:val>
        </c:ser>
        <c:ser>
          <c:idx val="2"/>
          <c:order val="2"/>
          <c:tx>
            <c:strRef>
              <c:f>Sheet1!$A$4</c:f>
              <c:strCache>
                <c:ptCount val="1"/>
                <c:pt idx="0">
                  <c:v>торговая площадь, занятая под смешанную группу товаров</c:v>
                </c:pt>
              </c:strCache>
            </c:strRef>
          </c:tx>
          <c:spPr>
            <a:solidFill>
              <a:srgbClr val="FFFFCC"/>
            </a:solidFill>
            <a:ln w="12707">
              <a:solidFill>
                <a:srgbClr val="000000"/>
              </a:solidFill>
              <a:prstDash val="solid"/>
            </a:ln>
          </c:spPr>
          <c:dLbls>
            <c:spPr>
              <a:noFill/>
              <a:ln w="25414">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Вал</c:v>
                </c:pt>
                <c:pt idx="3">
                  <c:v>с. Ныш</c:v>
                </c:pt>
              </c:strCache>
            </c:strRef>
          </c:cat>
          <c:val>
            <c:numRef>
              <c:f>Sheet1!$B$4:$E$4</c:f>
              <c:numCache>
                <c:formatCode>General</c:formatCode>
                <c:ptCount val="4"/>
                <c:pt idx="0">
                  <c:v>167</c:v>
                </c:pt>
                <c:pt idx="1">
                  <c:v>365</c:v>
                </c:pt>
                <c:pt idx="2">
                  <c:v>503</c:v>
                </c:pt>
                <c:pt idx="3">
                  <c:v>196</c:v>
                </c:pt>
              </c:numCache>
            </c:numRef>
          </c:val>
        </c:ser>
        <c:dLbls>
          <c:showVal val="1"/>
        </c:dLbls>
        <c:axId val="216728320"/>
        <c:axId val="216729856"/>
      </c:barChart>
      <c:catAx>
        <c:axId val="216728320"/>
        <c:scaling>
          <c:orientation val="minMax"/>
        </c:scaling>
        <c:axPos val="b"/>
        <c:numFmt formatCode="General" sourceLinked="1"/>
        <c:tickLblPos val="nextTo"/>
        <c:spPr>
          <a:ln w="3177">
            <a:solidFill>
              <a:srgbClr val="000000"/>
            </a:solidFill>
            <a:prstDash val="solid"/>
          </a:ln>
        </c:spPr>
        <c:txPr>
          <a:bodyPr rot="0" vert="horz"/>
          <a:lstStyle/>
          <a:p>
            <a:pPr>
              <a:defRPr sz="900" b="1" i="0" u="none" strike="noStrike" baseline="0">
                <a:solidFill>
                  <a:srgbClr val="000000"/>
                </a:solidFill>
                <a:latin typeface="Calibri"/>
                <a:ea typeface="Calibri"/>
                <a:cs typeface="Calibri"/>
              </a:defRPr>
            </a:pPr>
            <a:endParaRPr lang="ru-RU"/>
          </a:p>
        </c:txPr>
        <c:crossAx val="216729856"/>
        <c:crosses val="autoZero"/>
        <c:auto val="1"/>
        <c:lblAlgn val="ctr"/>
        <c:lblOffset val="100"/>
        <c:tickLblSkip val="1"/>
        <c:tickMarkSkip val="1"/>
      </c:catAx>
      <c:valAx>
        <c:axId val="216729856"/>
        <c:scaling>
          <c:orientation val="minMax"/>
        </c:scaling>
        <c:axPos val="l"/>
        <c:majorGridlines>
          <c:spPr>
            <a:ln w="3177">
              <a:solidFill>
                <a:srgbClr val="000000"/>
              </a:solidFill>
              <a:prstDash val="solid"/>
            </a:ln>
          </c:spPr>
        </c:majorGridlines>
        <c:numFmt formatCode="General" sourceLinked="1"/>
        <c:tickLblPos val="nextTo"/>
        <c:spPr>
          <a:ln w="3177">
            <a:solidFill>
              <a:srgbClr val="000000"/>
            </a:solidFill>
            <a:prstDash val="solid"/>
          </a:ln>
        </c:spPr>
        <c:txPr>
          <a:bodyPr rot="0" vert="horz"/>
          <a:lstStyle/>
          <a:p>
            <a:pPr>
              <a:defRPr sz="1026" b="1" i="0" u="none" strike="noStrike" baseline="0">
                <a:solidFill>
                  <a:srgbClr val="000000"/>
                </a:solidFill>
                <a:latin typeface="Calibri"/>
                <a:ea typeface="Calibri"/>
                <a:cs typeface="Calibri"/>
              </a:defRPr>
            </a:pPr>
            <a:endParaRPr lang="ru-RU"/>
          </a:p>
        </c:txPr>
        <c:crossAx val="216728320"/>
        <c:crosses val="autoZero"/>
        <c:crossBetween val="between"/>
      </c:valAx>
      <c:spPr>
        <a:gradFill rotWithShape="0">
          <a:gsLst>
            <a:gs pos="0">
              <a:srgbClr val="CCFFFF"/>
            </a:gs>
            <a:gs pos="100000">
              <a:srgbClr val="CCFFFF">
                <a:gamma/>
                <a:shade val="46275"/>
                <a:invGamma/>
              </a:srgbClr>
            </a:gs>
          </a:gsLst>
          <a:lin ang="5400000" scaled="1"/>
        </a:gradFill>
        <a:ln w="12707">
          <a:solidFill>
            <a:srgbClr val="808080"/>
          </a:solidFill>
          <a:prstDash val="solid"/>
        </a:ln>
      </c:spPr>
    </c:plotArea>
    <c:legend>
      <c:legendPos val="r"/>
      <c:layout>
        <c:manualLayout>
          <c:xMode val="edge"/>
          <c:yMode val="edge"/>
          <c:x val="0.68524590163934462"/>
          <c:y val="0.24892703862660956"/>
          <c:w val="0.30819672131147563"/>
          <c:h val="0.42918454935622347"/>
        </c:manualLayout>
      </c:layout>
      <c:spPr>
        <a:noFill/>
        <a:ln w="3177">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1026" b="1" i="0" u="none" strike="noStrike" baseline="0">
          <a:solidFill>
            <a:srgbClr val="000000"/>
          </a:solidFill>
          <a:latin typeface="Calibri"/>
          <a:ea typeface="Calibri"/>
          <a:cs typeface="Calibri"/>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9"/>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152542372881374E-2"/>
          <c:y val="4.9450549450549483E-2"/>
          <c:w val="0.63559322033898358"/>
          <c:h val="0.76373626373626358"/>
        </c:manualLayout>
      </c:layout>
      <c:bar3DChart>
        <c:barDir val="col"/>
        <c:grouping val="percentStacked"/>
        <c:ser>
          <c:idx val="0"/>
          <c:order val="0"/>
          <c:tx>
            <c:strRef>
              <c:f>Sheet1!$A$2</c:f>
              <c:strCache>
                <c:ptCount val="1"/>
                <c:pt idx="0">
                  <c:v>Школьные столовые</c:v>
                </c:pt>
              </c:strCache>
            </c:strRef>
          </c:tx>
          <c:spPr>
            <a:solidFill>
              <a:srgbClr val="9999FF"/>
            </a:solidFill>
            <a:ln w="12700">
              <a:solidFill>
                <a:srgbClr val="000000"/>
              </a:solidFill>
              <a:prstDash val="solid"/>
            </a:ln>
          </c:spPr>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Ныш</c:v>
                </c:pt>
                <c:pt idx="3">
                  <c:v>с. Вал</c:v>
                </c:pt>
              </c:strCache>
            </c:strRef>
          </c:cat>
          <c:val>
            <c:numRef>
              <c:f>Sheet1!$B$2:$E$2</c:f>
              <c:numCache>
                <c:formatCode>General</c:formatCode>
                <c:ptCount val="4"/>
                <c:pt idx="0">
                  <c:v>360</c:v>
                </c:pt>
                <c:pt idx="1">
                  <c:v>0</c:v>
                </c:pt>
                <c:pt idx="2">
                  <c:v>36</c:v>
                </c:pt>
                <c:pt idx="3">
                  <c:v>50</c:v>
                </c:pt>
              </c:numCache>
            </c:numRef>
          </c:val>
        </c:ser>
        <c:ser>
          <c:idx val="1"/>
          <c:order val="1"/>
          <c:tx>
            <c:strRef>
              <c:f>Sheet1!$A$3</c:f>
              <c:strCache>
                <c:ptCount val="1"/>
                <c:pt idx="0">
                  <c:v>Общедоступные столовые</c:v>
                </c:pt>
              </c:strCache>
            </c:strRef>
          </c:tx>
          <c:spPr>
            <a:solidFill>
              <a:srgbClr val="993366"/>
            </a:solidFill>
            <a:ln w="12700">
              <a:solidFill>
                <a:srgbClr val="000000"/>
              </a:solidFill>
              <a:prstDash val="solid"/>
            </a:ln>
          </c:spPr>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Ныш</c:v>
                </c:pt>
                <c:pt idx="3">
                  <c:v>с. Вал</c:v>
                </c:pt>
              </c:strCache>
            </c:strRef>
          </c:cat>
          <c:val>
            <c:numRef>
              <c:f>Sheet1!$B$3:$E$3</c:f>
              <c:numCache>
                <c:formatCode>General</c:formatCode>
                <c:ptCount val="4"/>
                <c:pt idx="0">
                  <c:v>0</c:v>
                </c:pt>
                <c:pt idx="1">
                  <c:v>0</c:v>
                </c:pt>
                <c:pt idx="2">
                  <c:v>0</c:v>
                </c:pt>
                <c:pt idx="3">
                  <c:v>0</c:v>
                </c:pt>
              </c:numCache>
            </c:numRef>
          </c:val>
        </c:ser>
        <c:ser>
          <c:idx val="2"/>
          <c:order val="2"/>
          <c:tx>
            <c:strRef>
              <c:f>Sheet1!$A$4</c:f>
              <c:strCache>
                <c:ptCount val="1"/>
                <c:pt idx="0">
                  <c:v>Кафе, бары прочие</c:v>
                </c:pt>
              </c:strCache>
            </c:strRef>
          </c:tx>
          <c:spPr>
            <a:solidFill>
              <a:srgbClr val="FFFFCC"/>
            </a:solidFill>
            <a:ln w="12700">
              <a:solidFill>
                <a:srgbClr val="000000"/>
              </a:solidFill>
              <a:prstDash val="solid"/>
            </a:ln>
          </c:spPr>
          <c:dLbls>
            <c:spPr>
              <a:noFill/>
              <a:ln w="25400">
                <a:noFill/>
              </a:ln>
            </c:spPr>
            <c:txPr>
              <a:bodyPr/>
              <a:lstStyle/>
              <a:p>
                <a:pPr>
                  <a:defRPr sz="800" b="1" i="0" u="none" strike="noStrike" baseline="0">
                    <a:solidFill>
                      <a:srgbClr val="000000"/>
                    </a:solidFill>
                    <a:latin typeface="Calibri"/>
                    <a:ea typeface="Calibri"/>
                    <a:cs typeface="Calibri"/>
                  </a:defRPr>
                </a:pPr>
                <a:endParaRPr lang="ru-RU"/>
              </a:p>
            </c:txPr>
            <c:showVal val="1"/>
          </c:dLbls>
          <c:cat>
            <c:strRef>
              <c:f>Sheet1!$B$1:$E$1</c:f>
              <c:strCache>
                <c:ptCount val="4"/>
                <c:pt idx="0">
                  <c:v>пгт. Ноглики</c:v>
                </c:pt>
                <c:pt idx="1">
                  <c:v>с. Катангли</c:v>
                </c:pt>
                <c:pt idx="2">
                  <c:v>с. Ныш</c:v>
                </c:pt>
                <c:pt idx="3">
                  <c:v>с. Вал</c:v>
                </c:pt>
              </c:strCache>
            </c:strRef>
          </c:cat>
          <c:val>
            <c:numRef>
              <c:f>Sheet1!$B$4:$E$4</c:f>
              <c:numCache>
                <c:formatCode>General</c:formatCode>
                <c:ptCount val="4"/>
                <c:pt idx="0">
                  <c:v>327</c:v>
                </c:pt>
                <c:pt idx="1">
                  <c:v>0</c:v>
                </c:pt>
                <c:pt idx="2">
                  <c:v>0</c:v>
                </c:pt>
                <c:pt idx="3">
                  <c:v>0</c:v>
                </c:pt>
              </c:numCache>
            </c:numRef>
          </c:val>
        </c:ser>
        <c:dLbls>
          <c:showVal val="1"/>
        </c:dLbls>
        <c:gapDepth val="0"/>
        <c:shape val="box"/>
        <c:axId val="217060096"/>
        <c:axId val="217061632"/>
        <c:axId val="0"/>
      </c:bar3DChart>
      <c:catAx>
        <c:axId val="217060096"/>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17061632"/>
        <c:crosses val="autoZero"/>
        <c:auto val="1"/>
        <c:lblAlgn val="ctr"/>
        <c:lblOffset val="100"/>
        <c:tickLblSkip val="1"/>
        <c:tickMarkSkip val="1"/>
      </c:catAx>
      <c:valAx>
        <c:axId val="217061632"/>
        <c:scaling>
          <c:orientation val="minMax"/>
        </c:scaling>
        <c:axPos val="l"/>
        <c:majorGridlines>
          <c:spPr>
            <a:ln w="3175">
              <a:solidFill>
                <a:srgbClr val="000000"/>
              </a:solidFill>
              <a:prstDash val="solid"/>
            </a:ln>
          </c:spPr>
        </c:majorGridlines>
        <c:numFmt formatCode="0%" sourceLinked="1"/>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17060096"/>
        <c:crosses val="autoZero"/>
        <c:crossBetween val="between"/>
      </c:valAx>
      <c:spPr>
        <a:noFill/>
        <a:ln w="25400">
          <a:noFill/>
        </a:ln>
      </c:spPr>
    </c:plotArea>
    <c:legend>
      <c:legendPos val="r"/>
      <c:layout>
        <c:manualLayout>
          <c:xMode val="edge"/>
          <c:yMode val="edge"/>
          <c:x val="0.74576271186440679"/>
          <c:y val="0.34065934065934067"/>
          <c:w val="0.24745762711864408"/>
          <c:h val="0.31868131868131866"/>
        </c:manualLayout>
      </c:layout>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ru-RU"/>
        </a:p>
      </c:txPr>
    </c:legend>
    <c:plotVisOnly val="1"/>
    <c:dispBlanksAs val="gap"/>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0"/>
    </c:view3D>
    <c:plotArea>
      <c:layout>
        <c:manualLayout>
          <c:layoutTarget val="inner"/>
          <c:xMode val="edge"/>
          <c:yMode val="edge"/>
          <c:x val="9.4462540716612461E-2"/>
          <c:y val="0.38053097345132741"/>
          <c:w val="0.48371335504885998"/>
          <c:h val="0.34808259587020701"/>
        </c:manualLayout>
      </c:layout>
      <c:pie3DChart>
        <c:varyColors val="1"/>
        <c:ser>
          <c:idx val="0"/>
          <c:order val="0"/>
          <c:tx>
            <c:strRef>
              <c:f>Sheet1!$A$2</c:f>
              <c:strCache>
                <c:ptCount val="1"/>
                <c:pt idx="0">
                  <c:v>Объекты бытового обслуживани</c:v>
                </c:pt>
              </c:strCache>
            </c:strRef>
          </c:tx>
          <c:spPr>
            <a:solidFill>
              <a:srgbClr val="9999FF"/>
            </a:solidFill>
            <a:ln w="12709">
              <a:solidFill>
                <a:srgbClr val="000000"/>
              </a:solidFill>
              <a:prstDash val="solid"/>
            </a:ln>
          </c:spPr>
          <c:explosion val="25"/>
          <c:dPt>
            <c:idx val="1"/>
            <c:spPr>
              <a:solidFill>
                <a:srgbClr val="993366"/>
              </a:solidFill>
              <a:ln w="12709">
                <a:solidFill>
                  <a:srgbClr val="000000"/>
                </a:solidFill>
                <a:prstDash val="solid"/>
              </a:ln>
            </c:spPr>
          </c:dPt>
          <c:dPt>
            <c:idx val="2"/>
            <c:spPr>
              <a:solidFill>
                <a:srgbClr val="FFFFCC"/>
              </a:solidFill>
              <a:ln w="12709">
                <a:solidFill>
                  <a:srgbClr val="000000"/>
                </a:solidFill>
                <a:prstDash val="solid"/>
              </a:ln>
            </c:spPr>
          </c:dPt>
          <c:dPt>
            <c:idx val="3"/>
            <c:spPr>
              <a:solidFill>
                <a:srgbClr val="CCFFFF"/>
              </a:solidFill>
              <a:ln w="12709">
                <a:solidFill>
                  <a:srgbClr val="000000"/>
                </a:solidFill>
                <a:prstDash val="solid"/>
              </a:ln>
            </c:spPr>
          </c:dPt>
          <c:dPt>
            <c:idx val="4"/>
            <c:spPr>
              <a:solidFill>
                <a:srgbClr val="660066"/>
              </a:solidFill>
              <a:ln w="12709">
                <a:solidFill>
                  <a:srgbClr val="000000"/>
                </a:solidFill>
                <a:prstDash val="solid"/>
              </a:ln>
            </c:spPr>
          </c:dPt>
          <c:dPt>
            <c:idx val="5"/>
            <c:spPr>
              <a:solidFill>
                <a:srgbClr val="FF8080"/>
              </a:solidFill>
              <a:ln w="12709">
                <a:solidFill>
                  <a:srgbClr val="000000"/>
                </a:solidFill>
                <a:prstDash val="solid"/>
              </a:ln>
            </c:spPr>
          </c:dPt>
          <c:dPt>
            <c:idx val="6"/>
            <c:spPr>
              <a:solidFill>
                <a:srgbClr val="0066CC"/>
              </a:solidFill>
              <a:ln w="12709">
                <a:solidFill>
                  <a:srgbClr val="000000"/>
                </a:solidFill>
                <a:prstDash val="solid"/>
              </a:ln>
            </c:spPr>
          </c:dPt>
          <c:dPt>
            <c:idx val="7"/>
            <c:spPr>
              <a:solidFill>
                <a:srgbClr val="CCCCFF"/>
              </a:solidFill>
              <a:ln w="12709">
                <a:solidFill>
                  <a:srgbClr val="000000"/>
                </a:solidFill>
                <a:prstDash val="solid"/>
              </a:ln>
            </c:spPr>
          </c:dPt>
          <c:dPt>
            <c:idx val="8"/>
            <c:spPr>
              <a:solidFill>
                <a:srgbClr val="000080"/>
              </a:solidFill>
              <a:ln w="12709">
                <a:solidFill>
                  <a:srgbClr val="000000"/>
                </a:solidFill>
                <a:prstDash val="solid"/>
              </a:ln>
            </c:spPr>
          </c:dPt>
          <c:dPt>
            <c:idx val="9"/>
            <c:spPr>
              <a:solidFill>
                <a:srgbClr val="FF00FF"/>
              </a:solidFill>
              <a:ln w="12709">
                <a:solidFill>
                  <a:srgbClr val="000000"/>
                </a:solidFill>
                <a:prstDash val="solid"/>
              </a:ln>
            </c:spPr>
          </c:dPt>
          <c:dPt>
            <c:idx val="10"/>
            <c:spPr>
              <a:solidFill>
                <a:srgbClr val="FFFF00"/>
              </a:solidFill>
              <a:ln w="12709">
                <a:solidFill>
                  <a:srgbClr val="000000"/>
                </a:solidFill>
                <a:prstDash val="solid"/>
              </a:ln>
            </c:spPr>
          </c:dPt>
          <c:dLbls>
            <c:spPr>
              <a:noFill/>
              <a:ln w="25419">
                <a:noFill/>
              </a:ln>
            </c:spPr>
            <c:txPr>
              <a:bodyPr/>
              <a:lstStyle/>
              <a:p>
                <a:pPr>
                  <a:defRPr sz="801" b="1" i="0" u="none" strike="noStrike" baseline="0">
                    <a:solidFill>
                      <a:srgbClr val="000000"/>
                    </a:solidFill>
                    <a:latin typeface="Calibri"/>
                    <a:ea typeface="Calibri"/>
                    <a:cs typeface="Calibri"/>
                  </a:defRPr>
                </a:pPr>
                <a:endParaRPr lang="ru-RU"/>
              </a:p>
            </c:txPr>
            <c:showVal val="1"/>
            <c:showLeaderLines val="1"/>
          </c:dLbls>
          <c:cat>
            <c:strRef>
              <c:f>Sheet1!$B$1:$L$1</c:f>
              <c:strCache>
                <c:ptCount val="11"/>
                <c:pt idx="0">
                  <c:v>Услуги по ремонту и пошиву обуви</c:v>
                </c:pt>
                <c:pt idx="1">
                  <c:v>Ремонт и пошив швейных изделий</c:v>
                </c:pt>
                <c:pt idx="2">
                  <c:v>Услуги парикмахерских</c:v>
                </c:pt>
                <c:pt idx="3">
                  <c:v>Фотоуслуги</c:v>
                </c:pt>
                <c:pt idx="4">
                  <c:v>Прокат</c:v>
                </c:pt>
                <c:pt idx="5">
                  <c:v>Услуги бань</c:v>
                </c:pt>
                <c:pt idx="6">
                  <c:v>Услуги прачечных</c:v>
                </c:pt>
                <c:pt idx="7">
                  <c:v>Ремонт и строительство жилья</c:v>
                </c:pt>
                <c:pt idx="8">
                  <c:v>Услуги ритуальные</c:v>
                </c:pt>
                <c:pt idx="9">
                  <c:v>Техническое обслуживание и ремонт транспортных средств</c:v>
                </c:pt>
                <c:pt idx="10">
                  <c:v>Прочие виды услуг</c:v>
                </c:pt>
              </c:strCache>
            </c:strRef>
          </c:cat>
          <c:val>
            <c:numRef>
              <c:f>Sheet1!$B$2:$L$2</c:f>
              <c:numCache>
                <c:formatCode>General</c:formatCode>
                <c:ptCount val="11"/>
                <c:pt idx="0">
                  <c:v>2</c:v>
                </c:pt>
                <c:pt idx="1">
                  <c:v>6</c:v>
                </c:pt>
                <c:pt idx="2">
                  <c:v>15</c:v>
                </c:pt>
                <c:pt idx="3">
                  <c:v>1</c:v>
                </c:pt>
                <c:pt idx="4">
                  <c:v>3</c:v>
                </c:pt>
                <c:pt idx="5">
                  <c:v>2</c:v>
                </c:pt>
                <c:pt idx="6">
                  <c:v>1</c:v>
                </c:pt>
                <c:pt idx="7">
                  <c:v>7</c:v>
                </c:pt>
                <c:pt idx="8">
                  <c:v>2</c:v>
                </c:pt>
                <c:pt idx="9">
                  <c:v>10</c:v>
                </c:pt>
                <c:pt idx="10">
                  <c:v>7</c:v>
                </c:pt>
              </c:numCache>
            </c:numRef>
          </c:val>
        </c:ser>
        <c:ser>
          <c:idx val="1"/>
          <c:order val="1"/>
          <c:tx>
            <c:strRef>
              <c:f>Sheet1!$A$3</c:f>
              <c:strCache>
                <c:ptCount val="1"/>
                <c:pt idx="0">
                  <c:v>Запад</c:v>
                </c:pt>
              </c:strCache>
            </c:strRef>
          </c:tx>
          <c:spPr>
            <a:solidFill>
              <a:srgbClr val="993366"/>
            </a:solidFill>
            <a:ln w="12709">
              <a:solidFill>
                <a:srgbClr val="000000"/>
              </a:solidFill>
              <a:prstDash val="solid"/>
            </a:ln>
          </c:spPr>
          <c:explosion val="25"/>
          <c:dPt>
            <c:idx val="0"/>
            <c:spPr>
              <a:solidFill>
                <a:srgbClr val="9999FF"/>
              </a:solidFill>
              <a:ln w="12709">
                <a:solidFill>
                  <a:srgbClr val="000000"/>
                </a:solidFill>
                <a:prstDash val="solid"/>
              </a:ln>
            </c:spPr>
          </c:dPt>
          <c:dPt>
            <c:idx val="2"/>
            <c:spPr>
              <a:solidFill>
                <a:srgbClr val="FFFFCC"/>
              </a:solidFill>
              <a:ln w="12709">
                <a:solidFill>
                  <a:srgbClr val="000000"/>
                </a:solidFill>
                <a:prstDash val="solid"/>
              </a:ln>
            </c:spPr>
          </c:dPt>
          <c:dPt>
            <c:idx val="3"/>
            <c:spPr>
              <a:solidFill>
                <a:srgbClr val="CCFFFF"/>
              </a:solidFill>
              <a:ln w="12709">
                <a:solidFill>
                  <a:srgbClr val="000000"/>
                </a:solidFill>
                <a:prstDash val="solid"/>
              </a:ln>
            </c:spPr>
          </c:dPt>
          <c:dPt>
            <c:idx val="4"/>
            <c:spPr>
              <a:solidFill>
                <a:srgbClr val="660066"/>
              </a:solidFill>
              <a:ln w="12709">
                <a:solidFill>
                  <a:srgbClr val="000000"/>
                </a:solidFill>
                <a:prstDash val="solid"/>
              </a:ln>
            </c:spPr>
          </c:dPt>
          <c:dPt>
            <c:idx val="5"/>
            <c:spPr>
              <a:solidFill>
                <a:srgbClr val="FF8080"/>
              </a:solidFill>
              <a:ln w="12709">
                <a:solidFill>
                  <a:srgbClr val="000000"/>
                </a:solidFill>
                <a:prstDash val="solid"/>
              </a:ln>
            </c:spPr>
          </c:dPt>
          <c:dPt>
            <c:idx val="6"/>
            <c:spPr>
              <a:solidFill>
                <a:srgbClr val="0066CC"/>
              </a:solidFill>
              <a:ln w="12709">
                <a:solidFill>
                  <a:srgbClr val="000000"/>
                </a:solidFill>
                <a:prstDash val="solid"/>
              </a:ln>
            </c:spPr>
          </c:dPt>
          <c:dPt>
            <c:idx val="7"/>
            <c:spPr>
              <a:solidFill>
                <a:srgbClr val="CCCCFF"/>
              </a:solidFill>
              <a:ln w="12709">
                <a:solidFill>
                  <a:srgbClr val="000000"/>
                </a:solidFill>
                <a:prstDash val="solid"/>
              </a:ln>
            </c:spPr>
          </c:dPt>
          <c:dPt>
            <c:idx val="8"/>
            <c:spPr>
              <a:solidFill>
                <a:srgbClr val="000080"/>
              </a:solidFill>
              <a:ln w="12709">
                <a:solidFill>
                  <a:srgbClr val="000000"/>
                </a:solidFill>
                <a:prstDash val="solid"/>
              </a:ln>
            </c:spPr>
          </c:dPt>
          <c:dPt>
            <c:idx val="9"/>
            <c:spPr>
              <a:solidFill>
                <a:srgbClr val="FF00FF"/>
              </a:solidFill>
              <a:ln w="12709">
                <a:solidFill>
                  <a:srgbClr val="000000"/>
                </a:solidFill>
                <a:prstDash val="solid"/>
              </a:ln>
            </c:spPr>
          </c:dPt>
          <c:dPt>
            <c:idx val="10"/>
            <c:spPr>
              <a:solidFill>
                <a:srgbClr val="FFFF00"/>
              </a:solidFill>
              <a:ln w="12709">
                <a:solidFill>
                  <a:srgbClr val="000000"/>
                </a:solidFill>
                <a:prstDash val="solid"/>
              </a:ln>
            </c:spPr>
          </c:dPt>
          <c:cat>
            <c:strRef>
              <c:f>Sheet1!$B$1:$L$1</c:f>
              <c:strCache>
                <c:ptCount val="11"/>
                <c:pt idx="0">
                  <c:v>Услуги по ремонту и пошиву обуви</c:v>
                </c:pt>
                <c:pt idx="1">
                  <c:v>Ремонт и пошив швейных изделий</c:v>
                </c:pt>
                <c:pt idx="2">
                  <c:v>Услуги парикмахерских</c:v>
                </c:pt>
                <c:pt idx="3">
                  <c:v>Фотоуслуги</c:v>
                </c:pt>
                <c:pt idx="4">
                  <c:v>Прокат</c:v>
                </c:pt>
                <c:pt idx="5">
                  <c:v>Услуги бань</c:v>
                </c:pt>
                <c:pt idx="6">
                  <c:v>Услуги прачечных</c:v>
                </c:pt>
                <c:pt idx="7">
                  <c:v>Ремонт и строительство жилья</c:v>
                </c:pt>
                <c:pt idx="8">
                  <c:v>Услуги ритуальные</c:v>
                </c:pt>
                <c:pt idx="9">
                  <c:v>Техническое обслуживание и ремонт транспортных средств</c:v>
                </c:pt>
                <c:pt idx="10">
                  <c:v>Прочие виды услуг</c:v>
                </c:pt>
              </c:strCache>
            </c:strRef>
          </c:cat>
          <c:val>
            <c:numRef>
              <c:f>Sheet1!$B$3:$L$3</c:f>
              <c:numCache>
                <c:formatCode>General</c:formatCode>
                <c:ptCount val="11"/>
                <c:pt idx="0">
                  <c:v>30.6</c:v>
                </c:pt>
                <c:pt idx="1">
                  <c:v>38.6</c:v>
                </c:pt>
                <c:pt idx="2">
                  <c:v>34.6</c:v>
                </c:pt>
                <c:pt idx="3">
                  <c:v>31.6</c:v>
                </c:pt>
              </c:numCache>
            </c:numRef>
          </c:val>
        </c:ser>
        <c:ser>
          <c:idx val="2"/>
          <c:order val="2"/>
          <c:tx>
            <c:strRef>
              <c:f>Sheet1!$A$4</c:f>
              <c:strCache>
                <c:ptCount val="1"/>
                <c:pt idx="0">
                  <c:v>Север</c:v>
                </c:pt>
              </c:strCache>
            </c:strRef>
          </c:tx>
          <c:spPr>
            <a:solidFill>
              <a:srgbClr val="FFFFCC"/>
            </a:solidFill>
            <a:ln w="12709">
              <a:solidFill>
                <a:srgbClr val="000000"/>
              </a:solidFill>
              <a:prstDash val="solid"/>
            </a:ln>
          </c:spPr>
          <c:explosion val="25"/>
          <c:dPt>
            <c:idx val="0"/>
            <c:spPr>
              <a:solidFill>
                <a:srgbClr val="9999FF"/>
              </a:solidFill>
              <a:ln w="12709">
                <a:solidFill>
                  <a:srgbClr val="000000"/>
                </a:solidFill>
                <a:prstDash val="solid"/>
              </a:ln>
            </c:spPr>
          </c:dPt>
          <c:dPt>
            <c:idx val="1"/>
            <c:spPr>
              <a:solidFill>
                <a:srgbClr val="993366"/>
              </a:solidFill>
              <a:ln w="12709">
                <a:solidFill>
                  <a:srgbClr val="000000"/>
                </a:solidFill>
                <a:prstDash val="solid"/>
              </a:ln>
            </c:spPr>
          </c:dPt>
          <c:dPt>
            <c:idx val="3"/>
            <c:spPr>
              <a:solidFill>
                <a:srgbClr val="CCFFFF"/>
              </a:solidFill>
              <a:ln w="12709">
                <a:solidFill>
                  <a:srgbClr val="000000"/>
                </a:solidFill>
                <a:prstDash val="solid"/>
              </a:ln>
            </c:spPr>
          </c:dPt>
          <c:dPt>
            <c:idx val="4"/>
            <c:spPr>
              <a:solidFill>
                <a:srgbClr val="660066"/>
              </a:solidFill>
              <a:ln w="12709">
                <a:solidFill>
                  <a:srgbClr val="000000"/>
                </a:solidFill>
                <a:prstDash val="solid"/>
              </a:ln>
            </c:spPr>
          </c:dPt>
          <c:dPt>
            <c:idx val="5"/>
            <c:spPr>
              <a:solidFill>
                <a:srgbClr val="FF8080"/>
              </a:solidFill>
              <a:ln w="12709">
                <a:solidFill>
                  <a:srgbClr val="000000"/>
                </a:solidFill>
                <a:prstDash val="solid"/>
              </a:ln>
            </c:spPr>
          </c:dPt>
          <c:dPt>
            <c:idx val="6"/>
            <c:spPr>
              <a:solidFill>
                <a:srgbClr val="0066CC"/>
              </a:solidFill>
              <a:ln w="12709">
                <a:solidFill>
                  <a:srgbClr val="000000"/>
                </a:solidFill>
                <a:prstDash val="solid"/>
              </a:ln>
            </c:spPr>
          </c:dPt>
          <c:dPt>
            <c:idx val="7"/>
            <c:spPr>
              <a:solidFill>
                <a:srgbClr val="CCCCFF"/>
              </a:solidFill>
              <a:ln w="12709">
                <a:solidFill>
                  <a:srgbClr val="000000"/>
                </a:solidFill>
                <a:prstDash val="solid"/>
              </a:ln>
            </c:spPr>
          </c:dPt>
          <c:dPt>
            <c:idx val="8"/>
            <c:spPr>
              <a:solidFill>
                <a:srgbClr val="000080"/>
              </a:solidFill>
              <a:ln w="12709">
                <a:solidFill>
                  <a:srgbClr val="000000"/>
                </a:solidFill>
                <a:prstDash val="solid"/>
              </a:ln>
            </c:spPr>
          </c:dPt>
          <c:dPt>
            <c:idx val="9"/>
            <c:spPr>
              <a:solidFill>
                <a:srgbClr val="FF00FF"/>
              </a:solidFill>
              <a:ln w="12709">
                <a:solidFill>
                  <a:srgbClr val="000000"/>
                </a:solidFill>
                <a:prstDash val="solid"/>
              </a:ln>
            </c:spPr>
          </c:dPt>
          <c:dPt>
            <c:idx val="10"/>
            <c:spPr>
              <a:solidFill>
                <a:srgbClr val="FFFF00"/>
              </a:solidFill>
              <a:ln w="12709">
                <a:solidFill>
                  <a:srgbClr val="000000"/>
                </a:solidFill>
                <a:prstDash val="solid"/>
              </a:ln>
            </c:spPr>
          </c:dPt>
          <c:cat>
            <c:strRef>
              <c:f>Sheet1!$B$1:$L$1</c:f>
              <c:strCache>
                <c:ptCount val="11"/>
                <c:pt idx="0">
                  <c:v>Услуги по ремонту и пошиву обуви</c:v>
                </c:pt>
                <c:pt idx="1">
                  <c:v>Ремонт и пошив швейных изделий</c:v>
                </c:pt>
                <c:pt idx="2">
                  <c:v>Услуги парикмахерских</c:v>
                </c:pt>
                <c:pt idx="3">
                  <c:v>Фотоуслуги</c:v>
                </c:pt>
                <c:pt idx="4">
                  <c:v>Прокат</c:v>
                </c:pt>
                <c:pt idx="5">
                  <c:v>Услуги бань</c:v>
                </c:pt>
                <c:pt idx="6">
                  <c:v>Услуги прачечных</c:v>
                </c:pt>
                <c:pt idx="7">
                  <c:v>Ремонт и строительство жилья</c:v>
                </c:pt>
                <c:pt idx="8">
                  <c:v>Услуги ритуальные</c:v>
                </c:pt>
                <c:pt idx="9">
                  <c:v>Техническое обслуживание и ремонт транспортных средств</c:v>
                </c:pt>
                <c:pt idx="10">
                  <c:v>Прочие виды услуг</c:v>
                </c:pt>
              </c:strCache>
            </c:strRef>
          </c:cat>
          <c:val>
            <c:numRef>
              <c:f>Sheet1!$B$4:$L$4</c:f>
              <c:numCache>
                <c:formatCode>General</c:formatCode>
                <c:ptCount val="11"/>
                <c:pt idx="0">
                  <c:v>45.9</c:v>
                </c:pt>
                <c:pt idx="1">
                  <c:v>46.9</c:v>
                </c:pt>
                <c:pt idx="2">
                  <c:v>45</c:v>
                </c:pt>
                <c:pt idx="3">
                  <c:v>43.9</c:v>
                </c:pt>
              </c:numCache>
            </c:numRef>
          </c:val>
        </c:ser>
      </c:pie3DChart>
      <c:spPr>
        <a:noFill/>
        <a:ln w="25419">
          <a:noFill/>
        </a:ln>
      </c:spPr>
    </c:plotArea>
    <c:legend>
      <c:legendPos val="r"/>
      <c:spPr>
        <a:solidFill>
          <a:srgbClr val="FFFFFF"/>
        </a:solidFill>
        <a:ln w="3177">
          <a:solidFill>
            <a:srgbClr val="000000"/>
          </a:solidFill>
          <a:prstDash val="solid"/>
        </a:ln>
      </c:spPr>
      <c:txPr>
        <a:bodyPr/>
        <a:lstStyle/>
        <a:p>
          <a:pPr>
            <a:defRPr sz="736" b="1" i="0" u="none" strike="noStrike" baseline="0">
              <a:solidFill>
                <a:srgbClr val="000000"/>
              </a:solidFill>
              <a:latin typeface="Calibri"/>
              <a:ea typeface="Calibri"/>
              <a:cs typeface="Calibri"/>
            </a:defRPr>
          </a:pPr>
          <a:endParaRPr lang="ru-RU"/>
        </a:p>
      </c:txPr>
    </c:legend>
    <c:plotVisOnly val="1"/>
    <c:dispBlanksAs val="zero"/>
  </c:chart>
  <c:spPr>
    <a:blipFill dpi="0" rotWithShape="0">
      <a:blip xmlns:r="http://schemas.openxmlformats.org/officeDocument/2006/relationships" r:embed="rId1"/>
      <a:srcRect/>
      <a:tile tx="0" ty="0" sx="100000" sy="100000" flip="none" algn="tl"/>
    </a:blipFill>
    <a:ln>
      <a:noFill/>
    </a:ln>
  </c:spPr>
  <c:txPr>
    <a:bodyPr/>
    <a:lstStyle/>
    <a:p>
      <a:pPr>
        <a:defRPr sz="1501" b="1" i="0" u="none" strike="noStrike" baseline="0">
          <a:solidFill>
            <a:srgbClr val="000000"/>
          </a:solidFill>
          <a:latin typeface="Calibri"/>
          <a:ea typeface="Calibri"/>
          <a:cs typeface="Calibri"/>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4"/>
      <c:depthPercent val="100"/>
      <c:rAngAx val="1"/>
    </c:view3D>
    <c:floor>
      <c:spPr>
        <a:solidFill>
          <a:srgbClr val="CCFFCC"/>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8.0747861868018231E-2"/>
          <c:y val="7.3572767036073503E-2"/>
          <c:w val="0.92345276872964077"/>
          <c:h val="0.73885350318471377"/>
        </c:manualLayout>
      </c:layout>
      <c:bar3DChart>
        <c:barDir val="col"/>
        <c:grouping val="stacked"/>
        <c:ser>
          <c:idx val="0"/>
          <c:order val="0"/>
          <c:tx>
            <c:strRef>
              <c:f>Sheet1!$A$2</c:f>
              <c:strCache>
                <c:ptCount val="1"/>
                <c:pt idx="0">
                  <c:v>население </c:v>
                </c:pt>
              </c:strCache>
            </c:strRef>
          </c:tx>
          <c:spPr>
            <a:solidFill>
              <a:srgbClr val="FF00FF"/>
            </a:solidFill>
            <a:ln w="12697">
              <a:solidFill>
                <a:srgbClr val="000000"/>
              </a:solidFill>
              <a:prstDash val="solid"/>
            </a:ln>
          </c:spPr>
          <c:cat>
            <c:numRef>
              <c:f>Sheet1!$B$1:$G$1</c:f>
              <c:numCache>
                <c:formatCode>General</c:formatCode>
                <c:ptCount val="6"/>
                <c:pt idx="0">
                  <c:v>2011</c:v>
                </c:pt>
                <c:pt idx="1">
                  <c:v>2012</c:v>
                </c:pt>
                <c:pt idx="2">
                  <c:v>2013</c:v>
                </c:pt>
                <c:pt idx="3">
                  <c:v>2014</c:v>
                </c:pt>
                <c:pt idx="4">
                  <c:v>2015</c:v>
                </c:pt>
              </c:numCache>
            </c:numRef>
          </c:cat>
          <c:val>
            <c:numRef>
              <c:f>Sheet1!$B$2:$G$2</c:f>
              <c:numCache>
                <c:formatCode>General</c:formatCode>
                <c:ptCount val="6"/>
                <c:pt idx="0">
                  <c:v>69.900000000000006</c:v>
                </c:pt>
                <c:pt idx="1">
                  <c:v>88.2</c:v>
                </c:pt>
                <c:pt idx="2">
                  <c:v>104.2</c:v>
                </c:pt>
                <c:pt idx="3">
                  <c:v>118.3</c:v>
                </c:pt>
                <c:pt idx="4">
                  <c:v>115.9</c:v>
                </c:pt>
              </c:numCache>
            </c:numRef>
          </c:val>
        </c:ser>
        <c:ser>
          <c:idx val="1"/>
          <c:order val="1"/>
          <c:tx>
            <c:strRef>
              <c:f>Sheet1!$A$3</c:f>
              <c:strCache>
                <c:ptCount val="1"/>
                <c:pt idx="0">
                  <c:v>бюджетные организации</c:v>
                </c:pt>
              </c:strCache>
            </c:strRef>
          </c:tx>
          <c:spPr>
            <a:solidFill>
              <a:srgbClr val="00FF00"/>
            </a:solidFill>
            <a:ln w="12697">
              <a:solidFill>
                <a:srgbClr val="000000"/>
              </a:solidFill>
              <a:prstDash val="solid"/>
            </a:ln>
          </c:spPr>
          <c:cat>
            <c:numRef>
              <c:f>Sheet1!$B$1:$G$1</c:f>
              <c:numCache>
                <c:formatCode>General</c:formatCode>
                <c:ptCount val="6"/>
                <c:pt idx="0">
                  <c:v>2011</c:v>
                </c:pt>
                <c:pt idx="1">
                  <c:v>2012</c:v>
                </c:pt>
                <c:pt idx="2">
                  <c:v>2013</c:v>
                </c:pt>
                <c:pt idx="3">
                  <c:v>2014</c:v>
                </c:pt>
                <c:pt idx="4">
                  <c:v>2015</c:v>
                </c:pt>
              </c:numCache>
            </c:numRef>
          </c:cat>
          <c:val>
            <c:numRef>
              <c:f>Sheet1!$B$3:$G$3</c:f>
              <c:numCache>
                <c:formatCode>General</c:formatCode>
                <c:ptCount val="6"/>
                <c:pt idx="0">
                  <c:v>1.5</c:v>
                </c:pt>
                <c:pt idx="1">
                  <c:v>1.6</c:v>
                </c:pt>
                <c:pt idx="2">
                  <c:v>3.4</c:v>
                </c:pt>
                <c:pt idx="3">
                  <c:v>4.0999999999999996</c:v>
                </c:pt>
                <c:pt idx="4">
                  <c:v>5.6</c:v>
                </c:pt>
              </c:numCache>
            </c:numRef>
          </c:val>
        </c:ser>
        <c:ser>
          <c:idx val="2"/>
          <c:order val="2"/>
          <c:tx>
            <c:strRef>
              <c:f>Sheet1!$A$4</c:f>
              <c:strCache>
                <c:ptCount val="1"/>
                <c:pt idx="0">
                  <c:v>прочие потребители</c:v>
                </c:pt>
              </c:strCache>
            </c:strRef>
          </c:tx>
          <c:spPr>
            <a:solidFill>
              <a:srgbClr val="FFFF00"/>
            </a:solidFill>
            <a:ln w="12697">
              <a:solidFill>
                <a:srgbClr val="000000"/>
              </a:solidFill>
              <a:prstDash val="solid"/>
            </a:ln>
          </c:spPr>
          <c:cat>
            <c:numRef>
              <c:f>Sheet1!$B$1:$G$1</c:f>
              <c:numCache>
                <c:formatCode>General</c:formatCode>
                <c:ptCount val="6"/>
                <c:pt idx="0">
                  <c:v>2011</c:v>
                </c:pt>
                <c:pt idx="1">
                  <c:v>2012</c:v>
                </c:pt>
                <c:pt idx="2">
                  <c:v>2013</c:v>
                </c:pt>
                <c:pt idx="3">
                  <c:v>2014</c:v>
                </c:pt>
                <c:pt idx="4">
                  <c:v>2015</c:v>
                </c:pt>
              </c:numCache>
            </c:numRef>
          </c:cat>
          <c:val>
            <c:numRef>
              <c:f>Sheet1!$B$4:$G$4</c:f>
              <c:numCache>
                <c:formatCode>General</c:formatCode>
                <c:ptCount val="6"/>
                <c:pt idx="0">
                  <c:v>32.700000000000003</c:v>
                </c:pt>
                <c:pt idx="1">
                  <c:v>31.4</c:v>
                </c:pt>
                <c:pt idx="2">
                  <c:v>34.9</c:v>
                </c:pt>
                <c:pt idx="3">
                  <c:v>58.5</c:v>
                </c:pt>
                <c:pt idx="4">
                  <c:v>44.5</c:v>
                </c:pt>
              </c:numCache>
            </c:numRef>
          </c:val>
        </c:ser>
        <c:gapDepth val="0"/>
        <c:shape val="cylinder"/>
        <c:axId val="217414656"/>
        <c:axId val="217428736"/>
        <c:axId val="0"/>
      </c:bar3DChart>
      <c:catAx>
        <c:axId val="217414656"/>
        <c:scaling>
          <c:orientation val="minMax"/>
        </c:scaling>
        <c:axPos val="b"/>
        <c:numFmt formatCode="General" sourceLinked="1"/>
        <c:tickLblPos val="low"/>
        <c:spPr>
          <a:ln w="3174">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217428736"/>
        <c:crosses val="autoZero"/>
        <c:auto val="1"/>
        <c:lblAlgn val="ctr"/>
        <c:lblOffset val="100"/>
        <c:tickLblSkip val="1"/>
        <c:tickMarkSkip val="1"/>
      </c:catAx>
      <c:valAx>
        <c:axId val="217428736"/>
        <c:scaling>
          <c:orientation val="minMax"/>
          <c:max val="250"/>
          <c:min val="0"/>
        </c:scaling>
        <c:axPos val="l"/>
        <c:majorGridlines>
          <c:spPr>
            <a:ln w="3174">
              <a:solidFill>
                <a:srgbClr val="000000"/>
              </a:solidFill>
              <a:prstDash val="solid"/>
            </a:ln>
          </c:spPr>
        </c:majorGridlines>
        <c:numFmt formatCode="General" sourceLinked="1"/>
        <c:tickLblPos val="nextTo"/>
        <c:spPr>
          <a:ln w="3174">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217414656"/>
        <c:crosses val="autoZero"/>
        <c:crossBetween val="between"/>
        <c:majorUnit val="50"/>
        <c:minorUnit val="0.5"/>
      </c:valAx>
      <c:spPr>
        <a:noFill/>
        <a:ln w="25393">
          <a:noFill/>
        </a:ln>
      </c:spPr>
    </c:plotArea>
    <c:legend>
      <c:legendPos val="b"/>
      <c:layout>
        <c:manualLayout>
          <c:xMode val="edge"/>
          <c:yMode val="edge"/>
          <c:x val="1.3362794723452417E-2"/>
          <c:y val="0.87947912684719642"/>
          <c:w val="0.98663720527654752"/>
          <c:h val="0.10703898026321614"/>
        </c:manualLayout>
      </c:layout>
      <c:spPr>
        <a:noFill/>
        <a:ln w="3174">
          <a:solidFill>
            <a:srgbClr val="000000"/>
          </a:solidFill>
          <a:prstDash val="solid"/>
        </a:ln>
      </c:spPr>
      <c:txPr>
        <a:bodyPr/>
        <a:lstStyle/>
        <a:p>
          <a:pPr>
            <a:defRPr sz="10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7.2758037225042399E-2"/>
          <c:y val="0.1"/>
          <c:w val="0.57529610829103217"/>
          <c:h val="0.70952380952381011"/>
        </c:manualLayout>
      </c:layout>
      <c:barChart>
        <c:barDir val="col"/>
        <c:grouping val="clustered"/>
        <c:ser>
          <c:idx val="0"/>
          <c:order val="0"/>
          <c:tx>
            <c:strRef>
              <c:f>Sheet1!$A$2</c:f>
              <c:strCache>
                <c:ptCount val="1"/>
                <c:pt idx="0">
                  <c:v>Общая сумма задолженности</c:v>
                </c:pt>
              </c:strCache>
            </c:strRef>
          </c:tx>
          <c:spPr>
            <a:gradFill rotWithShape="0">
              <a:gsLst>
                <a:gs pos="0">
                  <a:srgbClr val="9999FF"/>
                </a:gs>
                <a:gs pos="100000">
                  <a:srgbClr val="FFFF99"/>
                </a:gs>
              </a:gsLst>
              <a:lin ang="5400000" scaled="1"/>
            </a:gradFill>
            <a:ln w="15841">
              <a:solidFill>
                <a:srgbClr val="000000"/>
              </a:solidFill>
              <a:prstDash val="solid"/>
            </a:ln>
          </c:spPr>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106.1</c:v>
                </c:pt>
                <c:pt idx="1">
                  <c:v>121.2</c:v>
                </c:pt>
                <c:pt idx="2">
                  <c:v>142.5</c:v>
                </c:pt>
                <c:pt idx="3">
                  <c:v>180.9</c:v>
                </c:pt>
                <c:pt idx="4">
                  <c:v>166</c:v>
                </c:pt>
              </c:numCache>
            </c:numRef>
          </c:val>
        </c:ser>
        <c:ser>
          <c:idx val="1"/>
          <c:order val="1"/>
          <c:tx>
            <c:strRef>
              <c:f>Sheet1!$A$3</c:f>
              <c:strCache>
                <c:ptCount val="1"/>
                <c:pt idx="0">
                  <c:v>из нее просроченная</c:v>
                </c:pt>
              </c:strCache>
            </c:strRef>
          </c:tx>
          <c:spPr>
            <a:gradFill rotWithShape="0">
              <a:gsLst>
                <a:gs pos="0">
                  <a:srgbClr val="FF00FF"/>
                </a:gs>
                <a:gs pos="100000">
                  <a:srgbClr val="FF0000"/>
                </a:gs>
              </a:gsLst>
              <a:lin ang="5400000" scaled="1"/>
            </a:gradFill>
            <a:ln w="15841">
              <a:solidFill>
                <a:srgbClr val="000000"/>
              </a:solidFill>
              <a:prstDash val="solid"/>
            </a:ln>
          </c:spPr>
          <c:cat>
            <c:numRef>
              <c:f>Sheet1!$B$1:$F$1</c:f>
              <c:numCache>
                <c:formatCode>General</c:formatCode>
                <c:ptCount val="5"/>
                <c:pt idx="0">
                  <c:v>2011</c:v>
                </c:pt>
                <c:pt idx="1">
                  <c:v>2012</c:v>
                </c:pt>
                <c:pt idx="2">
                  <c:v>2013</c:v>
                </c:pt>
                <c:pt idx="3">
                  <c:v>2014</c:v>
                </c:pt>
                <c:pt idx="4">
                  <c:v>2015</c:v>
                </c:pt>
              </c:numCache>
            </c:numRef>
          </c:cat>
          <c:val>
            <c:numRef>
              <c:f>Sheet1!$B$3:$F$3</c:f>
              <c:numCache>
                <c:formatCode>General</c:formatCode>
                <c:ptCount val="5"/>
                <c:pt idx="0">
                  <c:v>30.6</c:v>
                </c:pt>
                <c:pt idx="1">
                  <c:v>87</c:v>
                </c:pt>
                <c:pt idx="2">
                  <c:v>95.3</c:v>
                </c:pt>
                <c:pt idx="3">
                  <c:v>131.6</c:v>
                </c:pt>
                <c:pt idx="4">
                  <c:v>118.4</c:v>
                </c:pt>
              </c:numCache>
            </c:numRef>
          </c:val>
        </c:ser>
        <c:axId val="217445120"/>
        <c:axId val="217446656"/>
      </c:barChart>
      <c:catAx>
        <c:axId val="217445120"/>
        <c:scaling>
          <c:orientation val="minMax"/>
        </c:scaling>
        <c:axPos val="b"/>
        <c:numFmt formatCode="General" sourceLinked="1"/>
        <c:tickLblPos val="nextTo"/>
        <c:spPr>
          <a:ln w="3960">
            <a:solidFill>
              <a:srgbClr val="000000"/>
            </a:solidFill>
            <a:prstDash val="solid"/>
          </a:ln>
        </c:spPr>
        <c:txPr>
          <a:bodyPr rot="0" vert="horz"/>
          <a:lstStyle/>
          <a:p>
            <a:pPr>
              <a:defRPr sz="1154" b="1" i="0" u="none" strike="noStrike" baseline="0">
                <a:solidFill>
                  <a:srgbClr val="000000"/>
                </a:solidFill>
                <a:latin typeface="Arial Cyr"/>
                <a:ea typeface="Arial Cyr"/>
                <a:cs typeface="Arial Cyr"/>
              </a:defRPr>
            </a:pPr>
            <a:endParaRPr lang="ru-RU"/>
          </a:p>
        </c:txPr>
        <c:crossAx val="217446656"/>
        <c:crosses val="autoZero"/>
        <c:auto val="1"/>
        <c:lblAlgn val="ctr"/>
        <c:lblOffset val="100"/>
        <c:tickLblSkip val="1"/>
        <c:tickMarkSkip val="1"/>
      </c:catAx>
      <c:valAx>
        <c:axId val="217446656"/>
        <c:scaling>
          <c:orientation val="minMax"/>
        </c:scaling>
        <c:axPos val="l"/>
        <c:majorGridlines>
          <c:spPr>
            <a:ln w="3960">
              <a:solidFill>
                <a:srgbClr val="000000"/>
              </a:solidFill>
              <a:prstDash val="solid"/>
            </a:ln>
          </c:spPr>
        </c:majorGridlines>
        <c:numFmt formatCode="General" sourceLinked="1"/>
        <c:tickLblPos val="nextTo"/>
        <c:spPr>
          <a:ln w="3960">
            <a:solidFill>
              <a:srgbClr val="000000"/>
            </a:solidFill>
            <a:prstDash val="solid"/>
          </a:ln>
        </c:spPr>
        <c:txPr>
          <a:bodyPr rot="0" vert="horz"/>
          <a:lstStyle/>
          <a:p>
            <a:pPr>
              <a:defRPr sz="1154" b="1" i="0" u="none" strike="noStrike" baseline="0">
                <a:solidFill>
                  <a:srgbClr val="000000"/>
                </a:solidFill>
                <a:latin typeface="Arial Cyr"/>
                <a:ea typeface="Arial Cyr"/>
                <a:cs typeface="Arial Cyr"/>
              </a:defRPr>
            </a:pPr>
            <a:endParaRPr lang="ru-RU"/>
          </a:p>
        </c:txPr>
        <c:crossAx val="217445120"/>
        <c:crosses val="autoZero"/>
        <c:crossBetween val="between"/>
      </c:valAx>
      <c:spPr>
        <a:solidFill>
          <a:srgbClr val="FFFFFF"/>
        </a:solidFill>
        <a:ln w="15841">
          <a:solidFill>
            <a:srgbClr val="808080"/>
          </a:solidFill>
          <a:prstDash val="solid"/>
        </a:ln>
      </c:spPr>
    </c:plotArea>
    <c:legend>
      <c:legendPos val="r"/>
      <c:spPr>
        <a:noFill/>
        <a:ln w="3960">
          <a:solidFill>
            <a:srgbClr val="000000"/>
          </a:solidFill>
          <a:prstDash val="solid"/>
        </a:ln>
      </c:spPr>
      <c:txPr>
        <a:bodyPr/>
        <a:lstStyle/>
        <a:p>
          <a:pPr>
            <a:defRPr sz="106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154" b="1" i="0" u="none" strike="noStrike" baseline="0">
          <a:solidFill>
            <a:srgbClr val="000000"/>
          </a:solidFill>
          <a:latin typeface="Arial Cyr"/>
          <a:ea typeface="Arial Cyr"/>
          <a:cs typeface="Arial Cyr"/>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9"/>
      <c:rotY val="40"/>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5.2631578947368432E-2"/>
          <c:y val="6.5656565656565663E-2"/>
          <c:w val="0.65037593984962405"/>
          <c:h val="0.75757575757575812"/>
        </c:manualLayout>
      </c:layout>
      <c:bar3DChart>
        <c:barDir val="col"/>
        <c:grouping val="clustered"/>
        <c:ser>
          <c:idx val="1"/>
          <c:order val="0"/>
          <c:tx>
            <c:strRef>
              <c:f>Sheet1!$A$2</c:f>
              <c:strCache>
                <c:ptCount val="1"/>
                <c:pt idx="0">
                  <c:v>объем СМР, млрд. руб.</c:v>
                </c:pt>
              </c:strCache>
            </c:strRef>
          </c:tx>
          <c:spPr>
            <a:solidFill>
              <a:srgbClr val="FF3399"/>
            </a:solidFill>
            <a:ln w="15840">
              <a:solidFill>
                <a:srgbClr val="000000"/>
              </a:solidFill>
              <a:prstDash val="solid"/>
            </a:ln>
            <a:scene3d>
              <a:camera prst="orthographicFront"/>
              <a:lightRig rig="threePt" dir="t"/>
            </a:scene3d>
            <a:sp3d>
              <a:bevelT prst="angle"/>
              <a:contourClr>
                <a:srgbClr val="000000"/>
              </a:contourClr>
            </a:sp3d>
          </c:spPr>
          <c:dLbls>
            <c:dLbl>
              <c:idx val="0"/>
              <c:showVal val="1"/>
            </c:dLbl>
            <c:dLbl>
              <c:idx val="1"/>
              <c:showVal val="1"/>
            </c:dLbl>
            <c:dLbl>
              <c:idx val="2"/>
              <c:showVal val="1"/>
            </c:dLbl>
            <c:dLbl>
              <c:idx val="3"/>
              <c:showVal val="1"/>
            </c:dLbl>
            <c:delete val="1"/>
          </c:dLbls>
          <c:cat>
            <c:numRef>
              <c:f>Sheet1!$B$1:$E$1</c:f>
              <c:numCache>
                <c:formatCode>General</c:formatCode>
                <c:ptCount val="4"/>
                <c:pt idx="0">
                  <c:v>2012</c:v>
                </c:pt>
                <c:pt idx="1">
                  <c:v>2013</c:v>
                </c:pt>
                <c:pt idx="2">
                  <c:v>2014</c:v>
                </c:pt>
                <c:pt idx="3">
                  <c:v>2015</c:v>
                </c:pt>
              </c:numCache>
            </c:numRef>
          </c:cat>
          <c:val>
            <c:numRef>
              <c:f>Sheet1!$B$2:$E$2</c:f>
              <c:numCache>
                <c:formatCode>General</c:formatCode>
                <c:ptCount val="4"/>
                <c:pt idx="0">
                  <c:v>25.86</c:v>
                </c:pt>
                <c:pt idx="1">
                  <c:v>21.57</c:v>
                </c:pt>
                <c:pt idx="2">
                  <c:v>1.2</c:v>
                </c:pt>
                <c:pt idx="3">
                  <c:v>0.70000000000000029</c:v>
                </c:pt>
              </c:numCache>
            </c:numRef>
          </c:val>
        </c:ser>
        <c:gapDepth val="0"/>
        <c:shape val="box"/>
        <c:axId val="217463040"/>
        <c:axId val="217473024"/>
        <c:axId val="0"/>
      </c:bar3DChart>
      <c:catAx>
        <c:axId val="217463040"/>
        <c:scaling>
          <c:orientation val="minMax"/>
        </c:scaling>
        <c:axPos val="b"/>
        <c:numFmt formatCode="General" sourceLinked="1"/>
        <c:tickLblPos val="low"/>
        <c:spPr>
          <a:ln w="3960">
            <a:solidFill>
              <a:srgbClr val="000000"/>
            </a:solidFill>
            <a:prstDash val="solid"/>
          </a:ln>
        </c:spPr>
        <c:txPr>
          <a:bodyPr rot="0" vert="horz"/>
          <a:lstStyle/>
          <a:p>
            <a:pPr>
              <a:defRPr sz="1091" b="1" i="0" u="none" strike="noStrike" baseline="0">
                <a:solidFill>
                  <a:srgbClr val="000000"/>
                </a:solidFill>
                <a:latin typeface="Calibri"/>
                <a:ea typeface="Calibri"/>
                <a:cs typeface="Calibri"/>
              </a:defRPr>
            </a:pPr>
            <a:endParaRPr lang="ru-RU"/>
          </a:p>
        </c:txPr>
        <c:crossAx val="217473024"/>
        <c:crosses val="autoZero"/>
        <c:auto val="1"/>
        <c:lblAlgn val="ctr"/>
        <c:lblOffset val="100"/>
        <c:tickLblSkip val="1"/>
        <c:tickMarkSkip val="1"/>
      </c:catAx>
      <c:valAx>
        <c:axId val="217473024"/>
        <c:scaling>
          <c:orientation val="minMax"/>
        </c:scaling>
        <c:axPos val="l"/>
        <c:majorGridlines/>
        <c:numFmt formatCode="General" sourceLinked="1"/>
        <c:tickLblPos val="nextTo"/>
        <c:spPr>
          <a:ln w="3960">
            <a:solidFill>
              <a:srgbClr val="000000"/>
            </a:solidFill>
            <a:prstDash val="solid"/>
          </a:ln>
        </c:spPr>
        <c:txPr>
          <a:bodyPr rot="0" vert="horz"/>
          <a:lstStyle/>
          <a:p>
            <a:pPr>
              <a:defRPr sz="1091" b="1" i="0" u="none" strike="noStrike" baseline="0">
                <a:solidFill>
                  <a:srgbClr val="000000"/>
                </a:solidFill>
                <a:latin typeface="Calibri"/>
                <a:ea typeface="Calibri"/>
                <a:cs typeface="Calibri"/>
              </a:defRPr>
            </a:pPr>
            <a:endParaRPr lang="ru-RU"/>
          </a:p>
        </c:txPr>
        <c:crossAx val="217463040"/>
        <c:crosses val="autoZero"/>
        <c:crossBetween val="between"/>
      </c:valAx>
      <c:spPr>
        <a:noFill/>
        <a:ln w="31680">
          <a:noFill/>
        </a:ln>
      </c:spPr>
    </c:plotArea>
    <c:legend>
      <c:legendPos val="r"/>
      <c:layout>
        <c:manualLayout>
          <c:xMode val="edge"/>
          <c:yMode val="edge"/>
          <c:x val="0.69266069701449673"/>
          <c:y val="0.34538220467382164"/>
          <c:w val="0.29258459992390323"/>
          <c:h val="0.33493376771527106"/>
        </c:manualLayout>
      </c:layout>
      <c:spPr>
        <a:noFill/>
        <a:ln w="3960">
          <a:solidFill>
            <a:srgbClr val="000000"/>
          </a:solidFill>
          <a:prstDash val="solid"/>
        </a:ln>
      </c:spPr>
      <c:txPr>
        <a:bodyPr/>
        <a:lstStyle/>
        <a:p>
          <a:pPr>
            <a:defRPr sz="1004" b="0" i="0" u="none" strike="noStrike" baseline="0">
              <a:solidFill>
                <a:srgbClr val="000000"/>
              </a:solidFill>
              <a:latin typeface="Times New Roman" pitchFamily="18" charset="0"/>
              <a:ea typeface="Calibri"/>
              <a:cs typeface="Calibri"/>
            </a:defRPr>
          </a:pPr>
          <a:endParaRPr lang="ru-RU"/>
        </a:p>
      </c:txPr>
    </c:legend>
    <c:plotVisOnly val="1"/>
    <c:dispBlanksAs val="gap"/>
  </c:chart>
  <c:spPr>
    <a:noFill/>
    <a:ln>
      <a:noFill/>
    </a:ln>
    <a:scene3d>
      <a:camera prst="orthographicFront"/>
      <a:lightRig rig="threePt" dir="t"/>
    </a:scene3d>
    <a:sp3d>
      <a:bevelT w="114300" prst="artDeco"/>
    </a:sp3d>
  </c:spPr>
  <c:txPr>
    <a:bodyPr/>
    <a:lstStyle/>
    <a:p>
      <a:pPr>
        <a:defRPr sz="1091" b="1" i="0" u="none" strike="noStrike" baseline="0">
          <a:solidFill>
            <a:srgbClr val="000000"/>
          </a:solidFill>
          <a:latin typeface="Calibri"/>
          <a:ea typeface="Calibri"/>
          <a:cs typeface="Calibri"/>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300" b="1" i="0" u="none" strike="noStrike" baseline="0">
                <a:solidFill>
                  <a:srgbClr val="000000"/>
                </a:solidFill>
                <a:latin typeface="Times New Roman"/>
                <a:ea typeface="Times New Roman"/>
                <a:cs typeface="Times New Roman"/>
              </a:defRPr>
            </a:pPr>
            <a:r>
              <a:rPr lang="ru-RU" sz="1300" baseline="0"/>
              <a:t>Ввод общей площади жилых домов (кв.метров)  </a:t>
            </a:r>
          </a:p>
        </c:rich>
      </c:tx>
      <c:layout>
        <c:manualLayout>
          <c:xMode val="edge"/>
          <c:yMode val="edge"/>
          <c:x val="0.12126245847176091"/>
          <c:y val="2.0202020202020211E-2"/>
        </c:manualLayout>
      </c:layout>
      <c:spPr>
        <a:noFill/>
        <a:ln w="31717">
          <a:noFill/>
        </a:ln>
      </c:spPr>
    </c:title>
    <c:plotArea>
      <c:layout>
        <c:manualLayout>
          <c:layoutTarget val="inner"/>
          <c:xMode val="edge"/>
          <c:yMode val="edge"/>
          <c:x val="9.4684385382059949E-2"/>
          <c:y val="9.2929292929293042E-2"/>
          <c:w val="0.86378737541528261"/>
          <c:h val="0.76969696969696966"/>
        </c:manualLayout>
      </c:layout>
      <c:barChart>
        <c:barDir val="bar"/>
        <c:grouping val="stacked"/>
        <c:ser>
          <c:idx val="0"/>
          <c:order val="0"/>
          <c:tx>
            <c:strRef>
              <c:f>Sheet1!$A$2</c:f>
              <c:strCache>
                <c:ptCount val="1"/>
                <c:pt idx="0">
                  <c:v>многоквартирные дома</c:v>
                </c:pt>
              </c:strCache>
            </c:strRef>
          </c:tx>
          <c:spPr>
            <a:gradFill rotWithShape="0">
              <a:gsLst>
                <a:gs pos="0">
                  <a:srgbClr val="3399FF"/>
                </a:gs>
                <a:gs pos="50000">
                  <a:srgbClr val="9999FF"/>
                </a:gs>
                <a:gs pos="100000">
                  <a:srgbClr val="3366FF"/>
                </a:gs>
              </a:gsLst>
              <a:lin ang="5400000" scaled="1"/>
            </a:gradFill>
            <a:ln w="15858">
              <a:solidFill>
                <a:srgbClr val="000000"/>
              </a:solidFill>
              <a:prstDash val="solid"/>
            </a:ln>
          </c:spPr>
          <c:dLbls>
            <c:delete val="1"/>
          </c:dLbls>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Sheet1!$B$2:$L$2</c:f>
              <c:numCache>
                <c:formatCode>General</c:formatCode>
                <c:ptCount val="11"/>
                <c:pt idx="0">
                  <c:v>1353.7</c:v>
                </c:pt>
                <c:pt idx="1">
                  <c:v>0</c:v>
                </c:pt>
                <c:pt idx="2">
                  <c:v>1825</c:v>
                </c:pt>
                <c:pt idx="3">
                  <c:v>1322</c:v>
                </c:pt>
                <c:pt idx="4">
                  <c:v>3059</c:v>
                </c:pt>
                <c:pt idx="5">
                  <c:v>2544.1</c:v>
                </c:pt>
                <c:pt idx="6">
                  <c:v>3426</c:v>
                </c:pt>
                <c:pt idx="7">
                  <c:v>4023</c:v>
                </c:pt>
                <c:pt idx="8">
                  <c:v>3794</c:v>
                </c:pt>
                <c:pt idx="9">
                  <c:v>2857.7</c:v>
                </c:pt>
                <c:pt idx="10">
                  <c:v>4946</c:v>
                </c:pt>
              </c:numCache>
            </c:numRef>
          </c:val>
        </c:ser>
        <c:ser>
          <c:idx val="1"/>
          <c:order val="1"/>
          <c:tx>
            <c:strRef>
              <c:f>Sheet1!$A$3</c:f>
              <c:strCache>
                <c:ptCount val="1"/>
                <c:pt idx="0">
                  <c:v>индивидуальное жилищное строительство</c:v>
                </c:pt>
              </c:strCache>
            </c:strRef>
          </c:tx>
          <c:spPr>
            <a:gradFill rotWithShape="0">
              <a:gsLst>
                <a:gs pos="0">
                  <a:srgbClr val="66FFFF"/>
                </a:gs>
                <a:gs pos="50000">
                  <a:srgbClr val="00CCFF"/>
                </a:gs>
                <a:gs pos="100000">
                  <a:srgbClr val="00FFFF"/>
                </a:gs>
              </a:gsLst>
              <a:lin ang="5400000" scaled="1"/>
            </a:gradFill>
            <a:ln w="15858">
              <a:solidFill>
                <a:srgbClr val="000000"/>
              </a:solidFill>
              <a:prstDash val="solid"/>
            </a:ln>
          </c:spPr>
          <c:dLbls>
            <c:delete val="1"/>
          </c:dLbls>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Sheet1!$B$3:$L$3</c:f>
              <c:numCache>
                <c:formatCode>General</c:formatCode>
                <c:ptCount val="11"/>
                <c:pt idx="0">
                  <c:v>932</c:v>
                </c:pt>
                <c:pt idx="1">
                  <c:v>243.3</c:v>
                </c:pt>
                <c:pt idx="2">
                  <c:v>1195</c:v>
                </c:pt>
                <c:pt idx="3">
                  <c:v>216</c:v>
                </c:pt>
                <c:pt idx="4">
                  <c:v>586</c:v>
                </c:pt>
                <c:pt idx="5">
                  <c:v>2632.4</c:v>
                </c:pt>
                <c:pt idx="6">
                  <c:v>364</c:v>
                </c:pt>
                <c:pt idx="7">
                  <c:v>381</c:v>
                </c:pt>
                <c:pt idx="8">
                  <c:v>1182</c:v>
                </c:pt>
                <c:pt idx="9">
                  <c:v>1465</c:v>
                </c:pt>
                <c:pt idx="10">
                  <c:v>1867</c:v>
                </c:pt>
              </c:numCache>
            </c:numRef>
          </c:val>
        </c:ser>
        <c:dLbls>
          <c:showVal val="1"/>
        </c:dLbls>
        <c:overlap val="100"/>
        <c:axId val="217546752"/>
        <c:axId val="217548288"/>
      </c:barChart>
      <c:catAx>
        <c:axId val="217546752"/>
        <c:scaling>
          <c:orientation val="minMax"/>
        </c:scaling>
        <c:axPos val="l"/>
        <c:numFmt formatCode="General" sourceLinked="1"/>
        <c:majorTickMark val="none"/>
        <c:tickLblPos val="nextTo"/>
        <c:spPr>
          <a:ln w="3965">
            <a:solidFill>
              <a:srgbClr val="000000"/>
            </a:solidFill>
            <a:prstDash val="solid"/>
          </a:ln>
        </c:spPr>
        <c:txPr>
          <a:bodyPr rot="0" vert="horz"/>
          <a:lstStyle/>
          <a:p>
            <a:pPr>
              <a:defRPr sz="1200" b="1" i="0" u="none" strike="noStrike" baseline="0">
                <a:solidFill>
                  <a:srgbClr val="000000"/>
                </a:solidFill>
                <a:latin typeface="Arial"/>
                <a:ea typeface="Arial"/>
                <a:cs typeface="Arial"/>
              </a:defRPr>
            </a:pPr>
            <a:endParaRPr lang="ru-RU"/>
          </a:p>
        </c:txPr>
        <c:crossAx val="217548288"/>
        <c:crosses val="autoZero"/>
        <c:auto val="1"/>
        <c:lblAlgn val="ctr"/>
        <c:lblOffset val="100"/>
        <c:tickLblSkip val="1"/>
        <c:tickMarkSkip val="1"/>
      </c:catAx>
      <c:valAx>
        <c:axId val="217548288"/>
        <c:scaling>
          <c:orientation val="minMax"/>
        </c:scaling>
        <c:axPos val="b"/>
        <c:numFmt formatCode="General" sourceLinked="1"/>
        <c:tickLblPos val="nextTo"/>
        <c:spPr>
          <a:ln w="3965">
            <a:solidFill>
              <a:srgbClr val="000000"/>
            </a:solidFill>
            <a:prstDash val="solid"/>
          </a:ln>
        </c:spPr>
        <c:txPr>
          <a:bodyPr rot="0" vert="horz"/>
          <a:lstStyle/>
          <a:p>
            <a:pPr>
              <a:defRPr sz="1200" b="1" i="0" u="none" strike="noStrike" baseline="0">
                <a:solidFill>
                  <a:srgbClr val="000000"/>
                </a:solidFill>
                <a:latin typeface="Arial"/>
                <a:ea typeface="Arial"/>
                <a:cs typeface="Arial"/>
              </a:defRPr>
            </a:pPr>
            <a:endParaRPr lang="ru-RU"/>
          </a:p>
        </c:txPr>
        <c:crossAx val="217546752"/>
        <c:crosses val="autoZero"/>
        <c:crossBetween val="between"/>
      </c:valAx>
      <c:spPr>
        <a:solidFill>
          <a:srgbClr val="FFFFFF"/>
        </a:solidFill>
        <a:ln w="31717">
          <a:noFill/>
        </a:ln>
      </c:spPr>
    </c:plotArea>
    <c:legend>
      <c:legendPos val="b"/>
      <c:legendEntry>
        <c:idx val="0"/>
        <c:txPr>
          <a:bodyPr/>
          <a:lstStyle/>
          <a:p>
            <a:pPr>
              <a:defRPr sz="1100" b="1" i="0" u="none" strike="noStrike" baseline="0">
                <a:solidFill>
                  <a:srgbClr val="000000"/>
                </a:solidFill>
                <a:latin typeface="Arial"/>
                <a:ea typeface="Arial"/>
                <a:cs typeface="Arial"/>
              </a:defRPr>
            </a:pPr>
            <a:endParaRPr lang="ru-RU"/>
          </a:p>
        </c:txPr>
      </c:legendEntry>
      <c:legendEntry>
        <c:idx val="1"/>
        <c:txPr>
          <a:bodyPr/>
          <a:lstStyle/>
          <a:p>
            <a:pPr>
              <a:defRPr sz="1100" b="1" i="0" u="none" strike="noStrike" baseline="0">
                <a:solidFill>
                  <a:srgbClr val="000000"/>
                </a:solidFill>
                <a:latin typeface="Arial"/>
                <a:ea typeface="Arial"/>
                <a:cs typeface="Arial"/>
              </a:defRPr>
            </a:pPr>
            <a:endParaRPr lang="ru-RU"/>
          </a:p>
        </c:txPr>
      </c:legendEntry>
      <c:layout>
        <c:manualLayout>
          <c:xMode val="edge"/>
          <c:yMode val="edge"/>
          <c:x val="3.1561461794019932E-2"/>
          <c:y val="0.94717156655140622"/>
          <c:w val="0.9485049833887047"/>
          <c:h val="5.0808265063074315E-2"/>
        </c:manualLayout>
      </c:layout>
      <c:spPr>
        <a:solidFill>
          <a:srgbClr val="FFFFFF"/>
        </a:solidFill>
        <a:ln w="3965">
          <a:solidFill>
            <a:srgbClr val="000000"/>
          </a:solidFill>
          <a:prstDash val="solid"/>
        </a:ln>
      </c:spPr>
      <c:txPr>
        <a:bodyPr/>
        <a:lstStyle/>
        <a:p>
          <a:pPr>
            <a:defRPr sz="1100" b="0" i="0" u="none" strike="noStrike" baseline="0">
              <a:solidFill>
                <a:srgbClr val="000000"/>
              </a:solidFill>
              <a:latin typeface="Arial"/>
              <a:ea typeface="Arial"/>
              <a:cs typeface="Arial"/>
            </a:defRPr>
          </a:pPr>
          <a:endParaRPr lang="ru-RU"/>
        </a:p>
      </c:txPr>
    </c:legend>
    <c:plotVisOnly val="1"/>
    <c:dispBlanksAs val="gap"/>
  </c:chart>
  <c:spPr>
    <a:gradFill rotWithShape="0">
      <a:gsLst>
        <a:gs pos="0">
          <a:srgbClr val="FFFF99"/>
        </a:gs>
        <a:gs pos="100000">
          <a:srgbClr val="FFCC99"/>
        </a:gs>
      </a:gsLst>
      <a:path path="rect">
        <a:fillToRect l="50000" t="50000" r="50000" b="50000"/>
      </a:path>
    </a:gradFill>
    <a:ln>
      <a:noFill/>
    </a:ln>
  </c:spPr>
  <c:txPr>
    <a:bodyPr/>
    <a:lstStyle/>
    <a:p>
      <a:pPr>
        <a:defRPr sz="1311" b="0" i="0" u="none" strike="noStrike" baseline="0">
          <a:solidFill>
            <a:srgbClr val="000000"/>
          </a:solidFill>
          <a:latin typeface="Arial"/>
          <a:ea typeface="Arial"/>
          <a:cs typeface="Arial"/>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34"/>
      <c:depthPercent val="100"/>
      <c:rAngAx val="1"/>
    </c:view3D>
    <c:floor>
      <c:spPr>
        <a:solidFill>
          <a:srgbClr val="C0C0C0"/>
        </a:solidFill>
        <a:ln w="3175">
          <a:solidFill>
            <a:srgbClr val="000000"/>
          </a:solidFill>
          <a:prstDash val="solid"/>
        </a:ln>
      </c:spPr>
    </c:floor>
    <c:sideWall>
      <c:spPr>
        <a:gradFill rotWithShape="0">
          <a:gsLst>
            <a:gs pos="0">
              <a:srgbClr val="CCFFCC"/>
            </a:gs>
            <a:gs pos="50000">
              <a:srgbClr val="C0C0C0"/>
            </a:gs>
            <a:gs pos="100000">
              <a:srgbClr val="CCFFCC"/>
            </a:gs>
          </a:gsLst>
          <a:lin ang="5400000" scaled="1"/>
        </a:gradFill>
        <a:ln w="12700">
          <a:solidFill>
            <a:srgbClr val="808080"/>
          </a:solidFill>
          <a:prstDash val="solid"/>
        </a:ln>
      </c:spPr>
    </c:sideWall>
    <c:backWall>
      <c:spPr>
        <a:gradFill rotWithShape="0">
          <a:gsLst>
            <a:gs pos="0">
              <a:srgbClr val="CCFFCC"/>
            </a:gs>
            <a:gs pos="50000">
              <a:srgbClr val="C0C0C0"/>
            </a:gs>
            <a:gs pos="100000">
              <a:srgbClr val="CCFFCC"/>
            </a:gs>
          </a:gsLst>
          <a:lin ang="5400000" scaled="1"/>
        </a:gradFill>
        <a:ln w="12700">
          <a:solidFill>
            <a:srgbClr val="808080"/>
          </a:solidFill>
          <a:prstDash val="solid"/>
        </a:ln>
      </c:spPr>
    </c:backWall>
    <c:plotArea>
      <c:layout>
        <c:manualLayout>
          <c:layoutTarget val="inner"/>
          <c:xMode val="edge"/>
          <c:yMode val="edge"/>
          <c:x val="7.9470198675496692E-2"/>
          <c:y val="3.5856573705179355E-2"/>
          <c:w val="0.90397350993377479"/>
          <c:h val="0.68127490039840721"/>
        </c:manualLayout>
      </c:layout>
      <c:bar3DChart>
        <c:barDir val="col"/>
        <c:grouping val="stacked"/>
        <c:ser>
          <c:idx val="0"/>
          <c:order val="0"/>
          <c:tx>
            <c:strRef>
              <c:f>Sheet1!$A$2</c:f>
              <c:strCache>
                <c:ptCount val="1"/>
                <c:pt idx="0">
                  <c:v>в визовом порядке</c:v>
                </c:pt>
              </c:strCache>
            </c:strRef>
          </c:tx>
          <c:spPr>
            <a:gradFill rotWithShape="0">
              <a:gsLst>
                <a:gs pos="0">
                  <a:srgbClr val="C0C0C0"/>
                </a:gs>
                <a:gs pos="50000">
                  <a:srgbClr val="CCCCFF"/>
                </a:gs>
                <a:gs pos="100000">
                  <a:srgbClr val="C0C0C0"/>
                </a:gs>
              </a:gsLst>
              <a:lin ang="5400000" scaled="1"/>
            </a:gradFill>
            <a:ln w="12673">
              <a:solidFill>
                <a:srgbClr val="000000"/>
              </a:solidFill>
              <a:prstDash val="solid"/>
            </a:ln>
          </c:spPr>
          <c:dLbls>
            <c:dLbl>
              <c:idx val="6"/>
              <c:layout>
                <c:manualLayout>
                  <c:x val="-3.5146847988473749E-2"/>
                  <c:y val="2.547949555174827E-3"/>
                </c:manualLayout>
              </c:layout>
              <c:showVal val="1"/>
            </c:dLbl>
            <c:spPr>
              <a:noFill/>
              <a:ln w="25347">
                <a:noFill/>
              </a:ln>
            </c:spPr>
            <c:txPr>
              <a:bodyPr/>
              <a:lstStyle/>
              <a:p>
                <a:pPr>
                  <a:defRPr sz="1098" b="1" i="0" u="none" strike="noStrike" baseline="0">
                    <a:solidFill>
                      <a:srgbClr val="000000"/>
                    </a:solidFill>
                    <a:latin typeface="Arial Cyr"/>
                    <a:ea typeface="Arial Cyr"/>
                    <a:cs typeface="Arial Cyr"/>
                  </a:defRPr>
                </a:pPr>
                <a:endParaRPr lang="ru-RU"/>
              </a:p>
            </c:txPr>
            <c:showVal val="1"/>
          </c:dLbls>
          <c:cat>
            <c:numRef>
              <c:f>Sheet1!$B$1:$H$1</c:f>
              <c:numCache>
                <c:formatCode>General</c:formatCode>
                <c:ptCount val="7"/>
                <c:pt idx="0">
                  <c:v>2009</c:v>
                </c:pt>
                <c:pt idx="1">
                  <c:v>2010</c:v>
                </c:pt>
                <c:pt idx="2">
                  <c:v>2011</c:v>
                </c:pt>
                <c:pt idx="3">
                  <c:v>2012</c:v>
                </c:pt>
                <c:pt idx="4">
                  <c:v>2013</c:v>
                </c:pt>
                <c:pt idx="5">
                  <c:v>2014</c:v>
                </c:pt>
                <c:pt idx="6">
                  <c:v>2015</c:v>
                </c:pt>
              </c:numCache>
            </c:numRef>
          </c:cat>
          <c:val>
            <c:numRef>
              <c:f>Sheet1!$B$2:$H$2</c:f>
              <c:numCache>
                <c:formatCode>General</c:formatCode>
                <c:ptCount val="7"/>
                <c:pt idx="0">
                  <c:v>6058</c:v>
                </c:pt>
                <c:pt idx="1">
                  <c:v>5438</c:v>
                </c:pt>
                <c:pt idx="2">
                  <c:v>5549</c:v>
                </c:pt>
                <c:pt idx="3">
                  <c:v>4379</c:v>
                </c:pt>
                <c:pt idx="4">
                  <c:v>2954</c:v>
                </c:pt>
                <c:pt idx="5">
                  <c:v>4367</c:v>
                </c:pt>
                <c:pt idx="6">
                  <c:v>3571</c:v>
                </c:pt>
              </c:numCache>
            </c:numRef>
          </c:val>
        </c:ser>
        <c:ser>
          <c:idx val="1"/>
          <c:order val="1"/>
          <c:tx>
            <c:strRef>
              <c:f>Sheet1!$A$3</c:f>
              <c:strCache>
                <c:ptCount val="1"/>
                <c:pt idx="0">
                  <c:v>в безвизовом порядке</c:v>
                </c:pt>
              </c:strCache>
            </c:strRef>
          </c:tx>
          <c:spPr>
            <a:gradFill rotWithShape="0">
              <a:gsLst>
                <a:gs pos="0">
                  <a:srgbClr val="993366"/>
                </a:gs>
                <a:gs pos="50000">
                  <a:srgbClr val="FFFFFF"/>
                </a:gs>
                <a:gs pos="100000">
                  <a:srgbClr val="993366"/>
                </a:gs>
              </a:gsLst>
              <a:lin ang="5400000" scaled="1"/>
            </a:gradFill>
            <a:ln w="12673">
              <a:solidFill>
                <a:srgbClr val="000000"/>
              </a:solidFill>
              <a:prstDash val="solid"/>
            </a:ln>
          </c:spPr>
          <c:dLbls>
            <c:spPr>
              <a:noFill/>
              <a:ln w="25347">
                <a:noFill/>
              </a:ln>
            </c:spPr>
            <c:txPr>
              <a:bodyPr/>
              <a:lstStyle/>
              <a:p>
                <a:pPr>
                  <a:defRPr sz="1098" b="1" i="0" u="none" strike="noStrike" baseline="0">
                    <a:solidFill>
                      <a:srgbClr val="000000"/>
                    </a:solidFill>
                    <a:latin typeface="Arial Cyr"/>
                    <a:ea typeface="Arial Cyr"/>
                    <a:cs typeface="Arial Cyr"/>
                  </a:defRPr>
                </a:pPr>
                <a:endParaRPr lang="ru-RU"/>
              </a:p>
            </c:txPr>
            <c:showVal val="1"/>
          </c:dLbls>
          <c:cat>
            <c:numRef>
              <c:f>Sheet1!$B$1:$H$1</c:f>
              <c:numCache>
                <c:formatCode>General</c:formatCode>
                <c:ptCount val="7"/>
                <c:pt idx="0">
                  <c:v>2009</c:v>
                </c:pt>
                <c:pt idx="1">
                  <c:v>2010</c:v>
                </c:pt>
                <c:pt idx="2">
                  <c:v>2011</c:v>
                </c:pt>
                <c:pt idx="3">
                  <c:v>2012</c:v>
                </c:pt>
                <c:pt idx="4">
                  <c:v>2013</c:v>
                </c:pt>
                <c:pt idx="5">
                  <c:v>2014</c:v>
                </c:pt>
                <c:pt idx="6">
                  <c:v>2015</c:v>
                </c:pt>
              </c:numCache>
            </c:numRef>
          </c:cat>
          <c:val>
            <c:numRef>
              <c:f>Sheet1!$B$3:$H$3</c:f>
              <c:numCache>
                <c:formatCode>General</c:formatCode>
                <c:ptCount val="7"/>
                <c:pt idx="0">
                  <c:v>1127</c:v>
                </c:pt>
                <c:pt idx="1">
                  <c:v>1740</c:v>
                </c:pt>
                <c:pt idx="2">
                  <c:v>1705</c:v>
                </c:pt>
                <c:pt idx="3">
                  <c:v>2442</c:v>
                </c:pt>
                <c:pt idx="4">
                  <c:v>2617</c:v>
                </c:pt>
                <c:pt idx="5">
                  <c:v>2635</c:v>
                </c:pt>
                <c:pt idx="6">
                  <c:v>2119</c:v>
                </c:pt>
              </c:numCache>
            </c:numRef>
          </c:val>
        </c:ser>
        <c:gapDepth val="0"/>
        <c:shape val="box"/>
        <c:axId val="126925440"/>
        <c:axId val="127140224"/>
        <c:axId val="0"/>
      </c:bar3DChart>
      <c:catAx>
        <c:axId val="126925440"/>
        <c:scaling>
          <c:orientation val="minMax"/>
        </c:scaling>
        <c:axPos val="b"/>
        <c:numFmt formatCode="General" sourceLinked="1"/>
        <c:tickLblPos val="low"/>
        <c:spPr>
          <a:ln w="3168">
            <a:solidFill>
              <a:srgbClr val="000000"/>
            </a:solidFill>
            <a:prstDash val="solid"/>
          </a:ln>
        </c:spPr>
        <c:txPr>
          <a:bodyPr rot="0" vert="horz"/>
          <a:lstStyle/>
          <a:p>
            <a:pPr>
              <a:defRPr sz="1098" b="1" i="0" u="none" strike="noStrike" baseline="0">
                <a:solidFill>
                  <a:srgbClr val="000000"/>
                </a:solidFill>
                <a:latin typeface="Arial Cyr"/>
                <a:ea typeface="Arial Cyr"/>
                <a:cs typeface="Arial Cyr"/>
              </a:defRPr>
            </a:pPr>
            <a:endParaRPr lang="ru-RU"/>
          </a:p>
        </c:txPr>
        <c:crossAx val="127140224"/>
        <c:crosses val="autoZero"/>
        <c:auto val="1"/>
        <c:lblAlgn val="ctr"/>
        <c:lblOffset val="100"/>
        <c:tickLblSkip val="1"/>
        <c:tickMarkSkip val="1"/>
      </c:catAx>
      <c:valAx>
        <c:axId val="127140224"/>
        <c:scaling>
          <c:orientation val="minMax"/>
        </c:scaling>
        <c:axPos val="l"/>
        <c:majorGridlines>
          <c:spPr>
            <a:ln w="3168">
              <a:solidFill>
                <a:srgbClr val="000000"/>
              </a:solidFill>
              <a:prstDash val="solid"/>
            </a:ln>
          </c:spPr>
        </c:majorGridlines>
        <c:numFmt formatCode="General" sourceLinked="1"/>
        <c:tickLblPos val="nextTo"/>
        <c:spPr>
          <a:ln w="3168">
            <a:solidFill>
              <a:srgbClr val="000000"/>
            </a:solidFill>
            <a:prstDash val="solid"/>
          </a:ln>
        </c:spPr>
        <c:txPr>
          <a:bodyPr rot="0" vert="horz"/>
          <a:lstStyle/>
          <a:p>
            <a:pPr>
              <a:defRPr sz="1098" b="1" i="0" u="none" strike="noStrike" baseline="0">
                <a:solidFill>
                  <a:srgbClr val="000000"/>
                </a:solidFill>
                <a:latin typeface="Arial Cyr"/>
                <a:ea typeface="Arial Cyr"/>
                <a:cs typeface="Arial Cyr"/>
              </a:defRPr>
            </a:pPr>
            <a:endParaRPr lang="ru-RU"/>
          </a:p>
        </c:txPr>
        <c:crossAx val="126925440"/>
        <c:crosses val="autoZero"/>
        <c:crossBetween val="between"/>
      </c:valAx>
      <c:spPr>
        <a:noFill/>
        <a:ln w="25347">
          <a:noFill/>
        </a:ln>
      </c:spPr>
    </c:plotArea>
    <c:legend>
      <c:legendPos val="b"/>
      <c:layout>
        <c:manualLayout>
          <c:xMode val="edge"/>
          <c:yMode val="edge"/>
          <c:x val="0.20529801324503333"/>
          <c:y val="0.8844621513944213"/>
          <c:w val="0.58940397350993357"/>
          <c:h val="0.10358565737051807"/>
        </c:manualLayout>
      </c:layout>
      <c:spPr>
        <a:noFill/>
        <a:ln w="3168">
          <a:solidFill>
            <a:srgbClr val="000000"/>
          </a:solidFill>
          <a:prstDash val="solid"/>
        </a:ln>
      </c:spPr>
      <c:txPr>
        <a:bodyPr/>
        <a:lstStyle/>
        <a:p>
          <a:pPr>
            <a:defRPr sz="1008"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098" b="1" i="0" u="none" strike="noStrike" baseline="0">
          <a:solidFill>
            <a:srgbClr val="000000"/>
          </a:solidFill>
          <a:latin typeface="Arial Cyr"/>
          <a:ea typeface="Arial Cyr"/>
          <a:cs typeface="Arial Cyr"/>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ru-RU"/>
  <c:chart>
    <c:view3D>
      <c:depthPercent val="70"/>
      <c:rAngAx val="1"/>
    </c:view3D>
    <c:plotArea>
      <c:layout/>
      <c:bar3DChart>
        <c:barDir val="col"/>
        <c:grouping val="clustered"/>
        <c:ser>
          <c:idx val="0"/>
          <c:order val="0"/>
          <c:tx>
            <c:strRef>
              <c:f>Лист1!$B$1</c:f>
              <c:strCache>
                <c:ptCount val="1"/>
                <c:pt idx="0">
                  <c:v>учащиеся школ, чел.</c:v>
                </c:pt>
              </c:strCache>
            </c:strRef>
          </c:tx>
          <c:spPr>
            <a:solidFill>
              <a:srgbClr val="3399FF"/>
            </a:solidFill>
            <a:scene3d>
              <a:camera prst="orthographicFront"/>
              <a:lightRig rig="threePt" dir="t"/>
            </a:scene3d>
            <a:sp3d>
              <a:bevelT/>
            </a:sp3d>
          </c:spPr>
          <c:dLbls>
            <c:dLbl>
              <c:idx val="0"/>
              <c:spPr/>
              <c:txPr>
                <a:bodyPr anchor="ctr" anchorCtr="1"/>
                <a:lstStyle/>
                <a:p>
                  <a:pPr>
                    <a:defRPr sz="800"/>
                  </a:pPr>
                  <a:endParaRPr lang="ru-RU"/>
                </a:p>
              </c:txPr>
            </c:dLbl>
            <c:dLbl>
              <c:idx val="1"/>
              <c:spPr/>
              <c:txPr>
                <a:bodyPr anchor="ctr" anchorCtr="1"/>
                <a:lstStyle/>
                <a:p>
                  <a:pPr>
                    <a:defRPr sz="800"/>
                  </a:pPr>
                  <a:endParaRPr lang="ru-RU"/>
                </a:p>
              </c:txPr>
            </c:dLbl>
            <c:dLbl>
              <c:idx val="2"/>
              <c:spPr/>
              <c:txPr>
                <a:bodyPr anchor="ctr" anchorCtr="1"/>
                <a:lstStyle/>
                <a:p>
                  <a:pPr>
                    <a:defRPr sz="800"/>
                  </a:pPr>
                  <a:endParaRPr lang="ru-RU"/>
                </a:p>
              </c:txPr>
            </c:dLbl>
            <c:showVal val="1"/>
          </c:dLbls>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1471</c:v>
                </c:pt>
                <c:pt idx="1">
                  <c:v>1458</c:v>
                </c:pt>
                <c:pt idx="2">
                  <c:v>1479</c:v>
                </c:pt>
                <c:pt idx="3">
                  <c:v>1469</c:v>
                </c:pt>
              </c:numCache>
            </c:numRef>
          </c:val>
        </c:ser>
        <c:ser>
          <c:idx val="1"/>
          <c:order val="1"/>
          <c:tx>
            <c:strRef>
              <c:f>Лист1!$C$1</c:f>
              <c:strCache>
                <c:ptCount val="1"/>
                <c:pt idx="0">
                  <c:v>воспитанники д/садов, чел.</c:v>
                </c:pt>
              </c:strCache>
            </c:strRef>
          </c:tx>
          <c:spPr>
            <a:solidFill>
              <a:srgbClr val="FF66CC"/>
            </a:solidFill>
            <a:scene3d>
              <a:camera prst="orthographicFront"/>
              <a:lightRig rig="threePt" dir="t"/>
            </a:scene3d>
            <a:sp3d>
              <a:bevelT/>
            </a:sp3d>
          </c:spPr>
          <c:dLbls>
            <c:txPr>
              <a:bodyPr/>
              <a:lstStyle/>
              <a:p>
                <a:pPr>
                  <a:defRPr sz="800"/>
                </a:pPr>
                <a:endParaRPr lang="ru-RU"/>
              </a:p>
            </c:txPr>
            <c:showVal val="1"/>
          </c:dLbls>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708</c:v>
                </c:pt>
                <c:pt idx="1">
                  <c:v>722</c:v>
                </c:pt>
                <c:pt idx="2">
                  <c:v>732</c:v>
                </c:pt>
                <c:pt idx="3">
                  <c:v>702</c:v>
                </c:pt>
              </c:numCache>
            </c:numRef>
          </c:val>
        </c:ser>
        <c:ser>
          <c:idx val="2"/>
          <c:order val="2"/>
          <c:tx>
            <c:strRef>
              <c:f>Лист1!$D$1</c:f>
              <c:strCache>
                <c:ptCount val="1"/>
                <c:pt idx="0">
                  <c:v>воспитанники доп.образования, чел.</c:v>
                </c:pt>
              </c:strCache>
            </c:strRef>
          </c:tx>
          <c:spPr>
            <a:solidFill>
              <a:srgbClr val="00B050"/>
            </a:solidFill>
            <a:scene3d>
              <a:camera prst="orthographicFront"/>
              <a:lightRig rig="threePt" dir="t"/>
            </a:scene3d>
            <a:sp3d>
              <a:bevelT/>
            </a:sp3d>
          </c:spPr>
          <c:dLbls>
            <c:txPr>
              <a:bodyPr/>
              <a:lstStyle/>
              <a:p>
                <a:pPr>
                  <a:defRPr sz="800"/>
                </a:pPr>
                <a:endParaRPr lang="ru-RU"/>
              </a:p>
            </c:txPr>
            <c:showVal val="1"/>
          </c:dLbls>
          <c:cat>
            <c:numRef>
              <c:f>Лист1!$A$2:$A$5</c:f>
              <c:numCache>
                <c:formatCode>General</c:formatCode>
                <c:ptCount val="4"/>
                <c:pt idx="0">
                  <c:v>2012</c:v>
                </c:pt>
                <c:pt idx="1">
                  <c:v>2013</c:v>
                </c:pt>
                <c:pt idx="2">
                  <c:v>2014</c:v>
                </c:pt>
                <c:pt idx="3">
                  <c:v>2015</c:v>
                </c:pt>
              </c:numCache>
            </c:numRef>
          </c:cat>
          <c:val>
            <c:numRef>
              <c:f>Лист1!$D$2:$D$5</c:f>
              <c:numCache>
                <c:formatCode>General</c:formatCode>
                <c:ptCount val="4"/>
                <c:pt idx="0">
                  <c:v>624</c:v>
                </c:pt>
                <c:pt idx="1">
                  <c:v>771</c:v>
                </c:pt>
                <c:pt idx="2">
                  <c:v>712</c:v>
                </c:pt>
                <c:pt idx="3">
                  <c:v>659</c:v>
                </c:pt>
              </c:numCache>
            </c:numRef>
          </c:val>
        </c:ser>
        <c:shape val="box"/>
        <c:axId val="217884160"/>
        <c:axId val="217885696"/>
        <c:axId val="0"/>
      </c:bar3DChart>
      <c:catAx>
        <c:axId val="217884160"/>
        <c:scaling>
          <c:orientation val="minMax"/>
        </c:scaling>
        <c:axPos val="b"/>
        <c:numFmt formatCode="General" sourceLinked="1"/>
        <c:tickLblPos val="nextTo"/>
        <c:crossAx val="217885696"/>
        <c:crosses val="autoZero"/>
        <c:auto val="1"/>
        <c:lblAlgn val="ctr"/>
        <c:lblOffset val="100"/>
      </c:catAx>
      <c:valAx>
        <c:axId val="217885696"/>
        <c:scaling>
          <c:orientation val="minMax"/>
        </c:scaling>
        <c:axPos val="l"/>
        <c:majorGridlines/>
        <c:numFmt formatCode="General" sourceLinked="1"/>
        <c:tickLblPos val="nextTo"/>
        <c:crossAx val="217884160"/>
        <c:crosses val="autoZero"/>
        <c:crossBetween val="between"/>
      </c:valAx>
    </c:plotArea>
    <c:legend>
      <c:legendPos val="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ru-RU"/>
  <c:chart>
    <c:view3D>
      <c:rAngAx val="1"/>
    </c:view3D>
    <c:plotArea>
      <c:layout/>
      <c:bar3DChart>
        <c:barDir val="bar"/>
        <c:grouping val="clustered"/>
        <c:ser>
          <c:idx val="0"/>
          <c:order val="0"/>
          <c:tx>
            <c:strRef>
              <c:f>Лист1!$B$1</c:f>
              <c:strCache>
                <c:ptCount val="1"/>
                <c:pt idx="0">
                  <c:v>занято спортом всего, чел.</c:v>
                </c:pt>
              </c:strCache>
            </c:strRef>
          </c:tx>
          <c:spPr>
            <a:solidFill>
              <a:srgbClr val="A66BD3"/>
            </a:solidFill>
          </c:spPr>
          <c:dLbls>
            <c:txPr>
              <a:bodyPr/>
              <a:lstStyle/>
              <a:p>
                <a:pPr>
                  <a:defRPr sz="800"/>
                </a:pPr>
                <a:endParaRPr lang="ru-RU"/>
              </a:p>
            </c:txPr>
            <c:showVal val="1"/>
          </c:dLbls>
          <c:cat>
            <c:numRef>
              <c:f>Лист1!$A$2:$A$7</c:f>
              <c:numCache>
                <c:formatCode>General</c:formatCode>
                <c:ptCount val="6"/>
                <c:pt idx="0">
                  <c:v>2010</c:v>
                </c:pt>
                <c:pt idx="1">
                  <c:v>2011</c:v>
                </c:pt>
                <c:pt idx="2">
                  <c:v>2012</c:v>
                </c:pt>
                <c:pt idx="3">
                  <c:v>2013</c:v>
                </c:pt>
                <c:pt idx="4">
                  <c:v>2014</c:v>
                </c:pt>
                <c:pt idx="5">
                  <c:v>2015</c:v>
                </c:pt>
              </c:numCache>
            </c:numRef>
          </c:cat>
          <c:val>
            <c:numRef>
              <c:f>Лист1!$B$2:$B$7</c:f>
              <c:numCache>
                <c:formatCode>General</c:formatCode>
                <c:ptCount val="6"/>
                <c:pt idx="0">
                  <c:v>1346</c:v>
                </c:pt>
                <c:pt idx="1">
                  <c:v>1311</c:v>
                </c:pt>
                <c:pt idx="2">
                  <c:v>1575</c:v>
                </c:pt>
                <c:pt idx="3">
                  <c:v>2145</c:v>
                </c:pt>
                <c:pt idx="4">
                  <c:v>2960</c:v>
                </c:pt>
                <c:pt idx="5">
                  <c:v>3567</c:v>
                </c:pt>
              </c:numCache>
            </c:numRef>
          </c:val>
        </c:ser>
        <c:ser>
          <c:idx val="1"/>
          <c:order val="1"/>
          <c:tx>
            <c:strRef>
              <c:f>Лист1!$C$1</c:f>
              <c:strCache>
                <c:ptCount val="1"/>
                <c:pt idx="0">
                  <c:v>в т.ч. дети</c:v>
                </c:pt>
              </c:strCache>
            </c:strRef>
          </c:tx>
          <c:spPr>
            <a:solidFill>
              <a:srgbClr val="33CCFF"/>
            </a:solidFill>
          </c:spPr>
          <c:dLbls>
            <c:txPr>
              <a:bodyPr/>
              <a:lstStyle/>
              <a:p>
                <a:pPr>
                  <a:defRPr sz="800"/>
                </a:pPr>
                <a:endParaRPr lang="ru-RU"/>
              </a:p>
            </c:txPr>
            <c:showVal val="1"/>
          </c:dLbls>
          <c:cat>
            <c:numRef>
              <c:f>Лист1!$A$2:$A$7</c:f>
              <c:numCache>
                <c:formatCode>General</c:formatCode>
                <c:ptCount val="6"/>
                <c:pt idx="0">
                  <c:v>2010</c:v>
                </c:pt>
                <c:pt idx="1">
                  <c:v>2011</c:v>
                </c:pt>
                <c:pt idx="2">
                  <c:v>2012</c:v>
                </c:pt>
                <c:pt idx="3">
                  <c:v>2013</c:v>
                </c:pt>
                <c:pt idx="4">
                  <c:v>2014</c:v>
                </c:pt>
                <c:pt idx="5">
                  <c:v>2015</c:v>
                </c:pt>
              </c:numCache>
            </c:numRef>
          </c:cat>
          <c:val>
            <c:numRef>
              <c:f>Лист1!$C$2:$C$7</c:f>
              <c:numCache>
                <c:formatCode>General</c:formatCode>
                <c:ptCount val="6"/>
                <c:pt idx="0">
                  <c:v>452</c:v>
                </c:pt>
                <c:pt idx="1">
                  <c:v>1017</c:v>
                </c:pt>
                <c:pt idx="2">
                  <c:v>876</c:v>
                </c:pt>
                <c:pt idx="3">
                  <c:v>807</c:v>
                </c:pt>
                <c:pt idx="4">
                  <c:v>849</c:v>
                </c:pt>
                <c:pt idx="5">
                  <c:v>1217</c:v>
                </c:pt>
              </c:numCache>
            </c:numRef>
          </c:val>
        </c:ser>
        <c:shape val="cylinder"/>
        <c:axId val="217956736"/>
        <c:axId val="217958272"/>
        <c:axId val="0"/>
      </c:bar3DChart>
      <c:catAx>
        <c:axId val="217956736"/>
        <c:scaling>
          <c:orientation val="minMax"/>
        </c:scaling>
        <c:axPos val="l"/>
        <c:numFmt formatCode="General" sourceLinked="1"/>
        <c:tickLblPos val="nextTo"/>
        <c:crossAx val="217958272"/>
        <c:crosses val="autoZero"/>
        <c:auto val="1"/>
        <c:lblAlgn val="ctr"/>
        <c:lblOffset val="100"/>
      </c:catAx>
      <c:valAx>
        <c:axId val="217958272"/>
        <c:scaling>
          <c:orientation val="minMax"/>
        </c:scaling>
        <c:axPos val="b"/>
        <c:majorGridlines/>
        <c:numFmt formatCode="General" sourceLinked="1"/>
        <c:tickLblPos val="nextTo"/>
        <c:crossAx val="217956736"/>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7.2916666666666796E-2"/>
          <c:y val="9.1666666666666882E-2"/>
          <c:w val="0.90972222222222221"/>
          <c:h val="0.73333333333333361"/>
        </c:manualLayout>
      </c:layout>
      <c:lineChart>
        <c:grouping val="stacked"/>
        <c:ser>
          <c:idx val="0"/>
          <c:order val="0"/>
          <c:tx>
            <c:strRef>
              <c:f>Sheet1!$A$2</c:f>
              <c:strCache>
                <c:ptCount val="1"/>
                <c:pt idx="0">
                  <c:v>Количество безработных, чел.</c:v>
                </c:pt>
              </c:strCache>
            </c:strRef>
          </c:tx>
          <c:spPr>
            <a:ln w="12677">
              <a:solidFill>
                <a:srgbClr val="000080"/>
              </a:solidFill>
              <a:prstDash val="solid"/>
            </a:ln>
          </c:spPr>
          <c:marker>
            <c:symbol val="diamond"/>
            <c:size val="4"/>
            <c:spPr>
              <a:solidFill>
                <a:srgbClr val="000080"/>
              </a:solidFill>
              <a:ln>
                <a:solidFill>
                  <a:srgbClr val="000080"/>
                </a:solidFill>
                <a:prstDash val="solid"/>
              </a:ln>
            </c:spPr>
          </c:marker>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Sheet1!$B$2:$L$2</c:f>
              <c:numCache>
                <c:formatCode>General</c:formatCode>
                <c:ptCount val="11"/>
                <c:pt idx="0">
                  <c:v>0.58000000000000007</c:v>
                </c:pt>
                <c:pt idx="1">
                  <c:v>0.750000000000001</c:v>
                </c:pt>
                <c:pt idx="2">
                  <c:v>0.76000000000000101</c:v>
                </c:pt>
                <c:pt idx="3">
                  <c:v>0.64000000000000101</c:v>
                </c:pt>
                <c:pt idx="4">
                  <c:v>1.1299999999999979</c:v>
                </c:pt>
                <c:pt idx="5">
                  <c:v>0.87000000000000088</c:v>
                </c:pt>
                <c:pt idx="6">
                  <c:v>0.5</c:v>
                </c:pt>
                <c:pt idx="7">
                  <c:v>0.70000000000000062</c:v>
                </c:pt>
                <c:pt idx="8">
                  <c:v>0.67000000000000115</c:v>
                </c:pt>
                <c:pt idx="9">
                  <c:v>0.64000000000000101</c:v>
                </c:pt>
                <c:pt idx="10">
                  <c:v>1.1000000000000001</c:v>
                </c:pt>
              </c:numCache>
            </c:numRef>
          </c:val>
        </c:ser>
        <c:ser>
          <c:idx val="1"/>
          <c:order val="1"/>
          <c:tx>
            <c:strRef>
              <c:f>Sheet1!$A$3</c:f>
              <c:strCache>
                <c:ptCount val="1"/>
              </c:strCache>
            </c:strRef>
          </c:tx>
          <c:spPr>
            <a:ln w="38031">
              <a:solidFill>
                <a:srgbClr val="800000"/>
              </a:solidFill>
              <a:prstDash val="solid"/>
            </a:ln>
          </c:spPr>
          <c:marker>
            <c:symbol val="plus"/>
            <c:size val="4"/>
            <c:spPr>
              <a:solidFill>
                <a:srgbClr val="993366"/>
              </a:solidFill>
              <a:ln>
                <a:solidFill>
                  <a:srgbClr val="0066CC"/>
                </a:solidFill>
                <a:prstDash val="solid"/>
              </a:ln>
            </c:spPr>
          </c:marker>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Sheet1!$B$3:$L$3</c:f>
              <c:numCache>
                <c:formatCode>General</c:formatCode>
                <c:ptCount val="11"/>
              </c:numCache>
            </c:numRef>
          </c:val>
        </c:ser>
        <c:marker val="1"/>
        <c:axId val="127441920"/>
        <c:axId val="127462400"/>
      </c:lineChart>
      <c:catAx>
        <c:axId val="127441920"/>
        <c:scaling>
          <c:orientation val="minMax"/>
        </c:scaling>
        <c:axPos val="b"/>
        <c:numFmt formatCode="General" sourceLinked="1"/>
        <c:tickLblPos val="nextTo"/>
        <c:spPr>
          <a:ln w="3169">
            <a:solidFill>
              <a:srgbClr val="000000"/>
            </a:solidFill>
            <a:prstDash val="solid"/>
          </a:ln>
        </c:spPr>
        <c:txPr>
          <a:bodyPr rot="0" vert="horz"/>
          <a:lstStyle/>
          <a:p>
            <a:pPr>
              <a:defRPr sz="1048" b="1" i="0" u="none" strike="noStrike" baseline="0">
                <a:solidFill>
                  <a:srgbClr val="000000"/>
                </a:solidFill>
                <a:latin typeface="Arial Cyr"/>
                <a:ea typeface="Arial Cyr"/>
                <a:cs typeface="Arial Cyr"/>
              </a:defRPr>
            </a:pPr>
            <a:endParaRPr lang="ru-RU"/>
          </a:p>
        </c:txPr>
        <c:crossAx val="127462400"/>
        <c:crosses val="autoZero"/>
        <c:auto val="1"/>
        <c:lblAlgn val="ctr"/>
        <c:lblOffset val="100"/>
        <c:tickLblSkip val="1"/>
        <c:tickMarkSkip val="1"/>
      </c:catAx>
      <c:valAx>
        <c:axId val="127462400"/>
        <c:scaling>
          <c:orientation val="minMax"/>
          <c:max val="1.2"/>
          <c:min val="0"/>
        </c:scaling>
        <c:axPos val="l"/>
        <c:majorGridlines>
          <c:spPr>
            <a:ln w="3169">
              <a:solidFill>
                <a:srgbClr val="000000"/>
              </a:solidFill>
              <a:prstDash val="solid"/>
            </a:ln>
          </c:spPr>
        </c:majorGridlines>
        <c:numFmt formatCode="General" sourceLinked="1"/>
        <c:tickLblPos val="nextTo"/>
        <c:spPr>
          <a:ln w="3169">
            <a:solidFill>
              <a:srgbClr val="000000"/>
            </a:solidFill>
            <a:prstDash val="solid"/>
          </a:ln>
        </c:spPr>
        <c:txPr>
          <a:bodyPr rot="0" vert="horz"/>
          <a:lstStyle/>
          <a:p>
            <a:pPr>
              <a:defRPr sz="1048" b="1" i="0" u="none" strike="noStrike" baseline="0">
                <a:solidFill>
                  <a:srgbClr val="000000"/>
                </a:solidFill>
                <a:latin typeface="Arial Cyr"/>
                <a:ea typeface="Arial Cyr"/>
                <a:cs typeface="Arial Cyr"/>
              </a:defRPr>
            </a:pPr>
            <a:endParaRPr lang="ru-RU"/>
          </a:p>
        </c:txPr>
        <c:crossAx val="127441920"/>
        <c:crosses val="autoZero"/>
        <c:crossBetween val="between"/>
        <c:majorUnit val="0.2"/>
      </c:valAx>
      <c:spPr>
        <a:gradFill rotWithShape="0">
          <a:gsLst>
            <a:gs pos="0">
              <a:srgbClr val="9999FF"/>
            </a:gs>
            <a:gs pos="50000">
              <a:srgbClr val="9999FF">
                <a:gamma/>
                <a:tint val="0"/>
                <a:invGamma/>
              </a:srgbClr>
            </a:gs>
            <a:gs pos="100000">
              <a:srgbClr val="9999FF"/>
            </a:gs>
          </a:gsLst>
          <a:lin ang="2700000" scaled="1"/>
        </a:gradFill>
        <a:ln w="12677">
          <a:solidFill>
            <a:srgbClr val="000000"/>
          </a:solidFill>
          <a:prstDash val="solid"/>
        </a:ln>
      </c:spPr>
    </c:plotArea>
    <c:plotVisOnly val="1"/>
    <c:dispBlanksAs val="zero"/>
  </c:chart>
  <c:spPr>
    <a:blipFill dpi="0" rotWithShape="0">
      <a:blip xmlns:r="http://schemas.openxmlformats.org/officeDocument/2006/relationships" r:embed="rId1"/>
      <a:srcRect/>
      <a:tile tx="0" ty="0" sx="100000" sy="100000" flip="none" algn="tl"/>
    </a:blipFill>
    <a:ln w="12677">
      <a:solidFill>
        <a:srgbClr val="FFFF99"/>
      </a:solidFill>
      <a:prstDash val="solid"/>
    </a:ln>
    <a:effectLst>
      <a:outerShdw dist="35921" dir="2700000" algn="br">
        <a:srgbClr val="000000"/>
      </a:outerShdw>
    </a:effectLst>
  </c:spPr>
  <c:txPr>
    <a:bodyPr/>
    <a:lstStyle/>
    <a:p>
      <a:pPr>
        <a:defRPr sz="1048" b="1" i="0" u="none" strike="noStrike" baseline="0">
          <a:solidFill>
            <a:srgbClr val="000000"/>
          </a:solidFill>
          <a:latin typeface="Arial Cyr"/>
          <a:ea typeface="Arial Cyr"/>
          <a:cs typeface="Arial Cyr"/>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098" b="1" i="0" u="none" strike="noStrike" baseline="0">
                <a:solidFill>
                  <a:srgbClr val="000000"/>
                </a:solidFill>
                <a:latin typeface="Times New Roman"/>
                <a:ea typeface="Times New Roman"/>
                <a:cs typeface="Times New Roman"/>
              </a:defRPr>
            </a:pPr>
            <a:r>
              <a:rPr lang="ru-RU" sz="999" b="1" i="0" u="none" strike="noStrike" baseline="0">
                <a:solidFill>
                  <a:srgbClr val="000000"/>
                </a:solidFill>
                <a:latin typeface="Arial Cyr"/>
                <a:cs typeface="Arial Cyr"/>
              </a:rPr>
              <a:t>Динамика основных показателей уровня жизни населения  </a:t>
            </a:r>
            <a:endParaRPr lang="ru-RU" sz="800" b="1" i="0" u="none" strike="noStrike" baseline="0">
              <a:solidFill>
                <a:srgbClr val="000000"/>
              </a:solidFill>
              <a:latin typeface="Calibri"/>
              <a:cs typeface="Calibri"/>
            </a:endParaRPr>
          </a:p>
          <a:p>
            <a:pPr>
              <a:defRPr sz="1098" b="1" i="0" u="none" strike="noStrike" baseline="0">
                <a:solidFill>
                  <a:srgbClr val="000000"/>
                </a:solidFill>
                <a:latin typeface="Times New Roman"/>
                <a:ea typeface="Times New Roman"/>
                <a:cs typeface="Times New Roman"/>
              </a:defRPr>
            </a:pPr>
            <a:endParaRPr lang="ru-RU" sz="800" b="1" i="0" u="none" strike="noStrike" baseline="0">
              <a:solidFill>
                <a:srgbClr val="000000"/>
              </a:solidFill>
              <a:latin typeface="Calibri"/>
              <a:cs typeface="Calibri"/>
            </a:endParaRPr>
          </a:p>
        </c:rich>
      </c:tx>
      <c:layout>
        <c:manualLayout>
          <c:xMode val="edge"/>
          <c:yMode val="edge"/>
          <c:x val="0.17455138662316491"/>
          <c:y val="0"/>
        </c:manualLayout>
      </c:layout>
      <c:spPr>
        <a:noFill/>
        <a:ln w="25372">
          <a:noFill/>
        </a:ln>
      </c:spPr>
    </c:title>
    <c:plotArea>
      <c:layout>
        <c:manualLayout>
          <c:layoutTarget val="inner"/>
          <c:xMode val="edge"/>
          <c:yMode val="edge"/>
          <c:x val="1.3050570962479609E-2"/>
          <c:y val="0.10238907849829351"/>
          <c:w val="0.97389885807504195"/>
          <c:h val="0.55290102389078588"/>
        </c:manualLayout>
      </c:layout>
      <c:barChart>
        <c:barDir val="col"/>
        <c:grouping val="clustered"/>
        <c:ser>
          <c:idx val="1"/>
          <c:order val="1"/>
          <c:tx>
            <c:strRef>
              <c:f>Sheet1!$A$3</c:f>
              <c:strCache>
                <c:ptCount val="1"/>
                <c:pt idx="0">
                  <c:v>Среднедушевой денежный доход (в месяц), тыс. рублей</c:v>
                </c:pt>
              </c:strCache>
            </c:strRef>
          </c:tx>
          <c:spPr>
            <a:solidFill>
              <a:srgbClr val="CCCCFF"/>
            </a:solidFill>
            <a:ln w="12686">
              <a:solidFill>
                <a:srgbClr val="000000"/>
              </a:solidFill>
              <a:prstDash val="solid"/>
            </a:ln>
          </c:spPr>
          <c:dLbls>
            <c:dLbl>
              <c:idx val="0"/>
              <c:layout>
                <c:manualLayout>
                  <c:x val="6.633199294106255E-4"/>
                  <c:y val="0.19223086418598448"/>
                </c:manualLayout>
              </c:layout>
              <c:dLblPos val="outEnd"/>
              <c:showVal val="1"/>
            </c:dLbl>
            <c:dLbl>
              <c:idx val="2"/>
              <c:layout>
                <c:manualLayout>
                  <c:x val="9.8963257682929532E-4"/>
                  <c:y val="0.1706611859952834"/>
                </c:manualLayout>
              </c:layout>
              <c:dLblPos val="outEnd"/>
              <c:showVal val="1"/>
            </c:dLbl>
            <c:dLbl>
              <c:idx val="3"/>
              <c:layout>
                <c:manualLayout>
                  <c:x val="-2.8140095403279197E-3"/>
                  <c:y val="0.22893584827659219"/>
                </c:manualLayout>
              </c:layout>
              <c:tx>
                <c:rich>
                  <a:bodyPr/>
                  <a:lstStyle/>
                  <a:p>
                    <a:r>
                      <a:rPr lang="ru-RU"/>
                      <a:t>41
</a:t>
                    </a:r>
                  </a:p>
                </c:rich>
              </c:tx>
              <c:dLblPos val="outEnd"/>
            </c:dLbl>
            <c:spPr>
              <a:noFill/>
              <a:ln w="25372">
                <a:noFill/>
              </a:ln>
            </c:spPr>
            <c:txPr>
              <a:bodyPr/>
              <a:lstStyle/>
              <a:p>
                <a:pPr>
                  <a:defRPr sz="799" b="0" i="0" u="none" strike="noStrike" baseline="0">
                    <a:solidFill>
                      <a:srgbClr val="000000"/>
                    </a:solidFill>
                    <a:latin typeface="Times New Roman"/>
                    <a:ea typeface="Times New Roman"/>
                    <a:cs typeface="Times New Roman"/>
                  </a:defRPr>
                </a:pPr>
                <a:endParaRPr lang="ru-RU"/>
              </a:p>
            </c:txPr>
            <c:dLblPos val="ctr"/>
            <c:showVal val="1"/>
          </c:dLbls>
          <c:cat>
            <c:numRef>
              <c:f>Sheet1!$B$1:$G$1</c:f>
              <c:numCache>
                <c:formatCode>General</c:formatCode>
                <c:ptCount val="5"/>
                <c:pt idx="0">
                  <c:v>2011</c:v>
                </c:pt>
                <c:pt idx="1">
                  <c:v>2012</c:v>
                </c:pt>
                <c:pt idx="2">
                  <c:v>2013</c:v>
                </c:pt>
                <c:pt idx="3">
                  <c:v>2014</c:v>
                </c:pt>
                <c:pt idx="4">
                  <c:v>2015</c:v>
                </c:pt>
              </c:numCache>
            </c:numRef>
          </c:cat>
          <c:val>
            <c:numRef>
              <c:f>Sheet1!$B$3:$G$3</c:f>
              <c:numCache>
                <c:formatCode>General</c:formatCode>
                <c:ptCount val="5"/>
                <c:pt idx="0">
                  <c:v>27.1</c:v>
                </c:pt>
                <c:pt idx="1">
                  <c:v>29.7</c:v>
                </c:pt>
                <c:pt idx="2">
                  <c:v>36.9</c:v>
                </c:pt>
                <c:pt idx="3">
                  <c:v>41</c:v>
                </c:pt>
                <c:pt idx="4">
                  <c:v>45</c:v>
                </c:pt>
              </c:numCache>
            </c:numRef>
          </c:val>
        </c:ser>
        <c:axId val="198630016"/>
        <c:axId val="198817280"/>
      </c:barChart>
      <c:lineChart>
        <c:grouping val="stacked"/>
        <c:ser>
          <c:idx val="0"/>
          <c:order val="0"/>
          <c:tx>
            <c:strRef>
              <c:f>Sheet1!$A$2</c:f>
              <c:strCache>
                <c:ptCount val="1"/>
                <c:pt idx="0">
                  <c:v>Соотношение среднедушевых доходов с прожиточным минимумом,%</c:v>
                </c:pt>
              </c:strCache>
            </c:strRef>
          </c:tx>
          <c:spPr>
            <a:ln w="25372">
              <a:solidFill>
                <a:srgbClr val="000080"/>
              </a:solidFill>
              <a:prstDash val="solid"/>
            </a:ln>
          </c:spPr>
          <c:marker>
            <c:symbol val="diamond"/>
            <c:size val="8"/>
            <c:spPr>
              <a:solidFill>
                <a:srgbClr val="000080"/>
              </a:solidFill>
              <a:ln>
                <a:solidFill>
                  <a:srgbClr val="000080"/>
                </a:solidFill>
                <a:prstDash val="solid"/>
              </a:ln>
            </c:spPr>
          </c:marker>
          <c:dLbls>
            <c:dLbl>
              <c:idx val="0"/>
              <c:layout>
                <c:manualLayout>
                  <c:x val="-3.7327303216954558E-2"/>
                  <c:y val="-7.4855806812844983E-2"/>
                </c:manualLayout>
              </c:layout>
              <c:dLblPos val="r"/>
              <c:showVal val="1"/>
            </c:dLbl>
            <c:dLbl>
              <c:idx val="1"/>
              <c:layout>
                <c:manualLayout>
                  <c:x val="-3.6348486208090197E-2"/>
                  <c:y val="-6.6295674020885972E-2"/>
                </c:manualLayout>
              </c:layout>
              <c:dLblPos val="r"/>
              <c:showVal val="1"/>
            </c:dLbl>
            <c:dLbl>
              <c:idx val="2"/>
              <c:layout>
                <c:manualLayout>
                  <c:x val="-3.2107026458605976E-2"/>
                  <c:y val="-1.7090536323575501E-3"/>
                </c:manualLayout>
              </c:layout>
              <c:tx>
                <c:rich>
                  <a:bodyPr/>
                  <a:lstStyle/>
                  <a:p>
                    <a:pPr algn="r">
                      <a:defRPr sz="799" b="0" i="0" u="none" strike="noStrike" baseline="0">
                        <a:solidFill>
                          <a:srgbClr val="000000"/>
                        </a:solidFill>
                        <a:latin typeface="Times New Roman"/>
                        <a:ea typeface="Times New Roman"/>
                        <a:cs typeface="Times New Roman"/>
                      </a:defRPr>
                    </a:pPr>
                    <a:r>
                      <a:rPr lang="ru-RU"/>
                      <a:t>333
</a:t>
                    </a:r>
                  </a:p>
                </c:rich>
              </c:tx>
              <c:spPr>
                <a:noFill/>
                <a:ln w="25372">
                  <a:noFill/>
                </a:ln>
              </c:spPr>
              <c:dLblPos val="r"/>
            </c:dLbl>
            <c:dLbl>
              <c:idx val="3"/>
              <c:layout>
                <c:manualLayout>
                  <c:x val="-2.7865566709121603E-2"/>
                  <c:y val="2.3016049562342239E-2"/>
                </c:manualLayout>
              </c:layout>
              <c:tx>
                <c:rich>
                  <a:bodyPr/>
                  <a:lstStyle/>
                  <a:p>
                    <a:r>
                      <a:rPr lang="ru-RU"/>
                      <a:t>336
</a:t>
                    </a:r>
                  </a:p>
                </c:rich>
              </c:tx>
              <c:dLblPos val="r"/>
            </c:dLbl>
            <c:dLbl>
              <c:idx val="4"/>
              <c:layout>
                <c:manualLayout>
                  <c:x val="-5.679571886227786E-3"/>
                  <c:y val="-2.6797425137301798E-2"/>
                </c:manualLayout>
              </c:layout>
              <c:dLblPos val="r"/>
              <c:showVal val="1"/>
            </c:dLbl>
            <c:numFmt formatCode="General" sourceLinked="0"/>
            <c:spPr>
              <a:noFill/>
              <a:ln w="25372">
                <a:noFill/>
              </a:ln>
            </c:spPr>
            <c:txPr>
              <a:bodyPr/>
              <a:lstStyle/>
              <a:p>
                <a:pPr algn="r">
                  <a:defRPr sz="799" b="0" i="0" u="none" strike="noStrike" baseline="0">
                    <a:solidFill>
                      <a:srgbClr val="000000"/>
                    </a:solidFill>
                    <a:latin typeface="Times New Roman"/>
                    <a:ea typeface="Times New Roman"/>
                    <a:cs typeface="Times New Roman"/>
                  </a:defRPr>
                </a:pPr>
                <a:endParaRPr lang="ru-RU"/>
              </a:p>
            </c:txPr>
            <c:dLblPos val="b"/>
            <c:showVal val="1"/>
          </c:dLbls>
          <c:cat>
            <c:numRef>
              <c:f>Sheet1!$B$1:$G$1</c:f>
              <c:numCache>
                <c:formatCode>General</c:formatCode>
                <c:ptCount val="5"/>
                <c:pt idx="0">
                  <c:v>2011</c:v>
                </c:pt>
                <c:pt idx="1">
                  <c:v>2012</c:v>
                </c:pt>
                <c:pt idx="2">
                  <c:v>2013</c:v>
                </c:pt>
                <c:pt idx="3">
                  <c:v>2014</c:v>
                </c:pt>
                <c:pt idx="4">
                  <c:v>2015</c:v>
                </c:pt>
              </c:numCache>
            </c:numRef>
          </c:cat>
          <c:val>
            <c:numRef>
              <c:f>Sheet1!$B$2:$G$2</c:f>
              <c:numCache>
                <c:formatCode>General</c:formatCode>
                <c:ptCount val="5"/>
                <c:pt idx="0">
                  <c:v>272</c:v>
                </c:pt>
                <c:pt idx="1">
                  <c:v>296</c:v>
                </c:pt>
                <c:pt idx="2">
                  <c:v>333</c:v>
                </c:pt>
                <c:pt idx="3">
                  <c:v>336</c:v>
                </c:pt>
                <c:pt idx="4">
                  <c:v>327</c:v>
                </c:pt>
              </c:numCache>
            </c:numRef>
          </c:val>
        </c:ser>
        <c:marker val="1"/>
        <c:axId val="198832896"/>
        <c:axId val="198835584"/>
      </c:lineChart>
      <c:catAx>
        <c:axId val="198630016"/>
        <c:scaling>
          <c:orientation val="minMax"/>
        </c:scaling>
        <c:axPos val="b"/>
        <c:numFmt formatCode="General" sourceLinked="1"/>
        <c:tickLblPos val="nextTo"/>
        <c:spPr>
          <a:ln w="3171">
            <a:solidFill>
              <a:srgbClr val="000000"/>
            </a:solidFill>
            <a:prstDash val="solid"/>
          </a:ln>
        </c:spPr>
        <c:txPr>
          <a:bodyPr rot="0" vert="horz"/>
          <a:lstStyle/>
          <a:p>
            <a:pPr>
              <a:defRPr sz="799" b="0" i="0" u="none" strike="noStrike" baseline="0">
                <a:solidFill>
                  <a:srgbClr val="000000"/>
                </a:solidFill>
                <a:latin typeface="Times New Roman"/>
                <a:ea typeface="Times New Roman"/>
                <a:cs typeface="Times New Roman"/>
              </a:defRPr>
            </a:pPr>
            <a:endParaRPr lang="ru-RU"/>
          </a:p>
        </c:txPr>
        <c:crossAx val="198817280"/>
        <c:crosses val="autoZero"/>
        <c:auto val="1"/>
        <c:lblAlgn val="ctr"/>
        <c:lblOffset val="100"/>
        <c:tickLblSkip val="1"/>
        <c:tickMarkSkip val="1"/>
      </c:catAx>
      <c:valAx>
        <c:axId val="198817280"/>
        <c:scaling>
          <c:orientation val="minMax"/>
          <c:max val="70"/>
          <c:min val="0"/>
        </c:scaling>
        <c:axPos val="l"/>
        <c:numFmt formatCode="General" sourceLinked="1"/>
        <c:majorTickMark val="none"/>
        <c:tickLblPos val="none"/>
        <c:spPr>
          <a:ln w="9514">
            <a:noFill/>
          </a:ln>
        </c:spPr>
        <c:crossAx val="198630016"/>
        <c:crosses val="autoZero"/>
        <c:crossBetween val="between"/>
        <c:majorUnit val="10"/>
        <c:minorUnit val="5"/>
      </c:valAx>
      <c:catAx>
        <c:axId val="198832896"/>
        <c:scaling>
          <c:orientation val="minMax"/>
        </c:scaling>
        <c:delete val="1"/>
        <c:axPos val="b"/>
        <c:numFmt formatCode="General" sourceLinked="1"/>
        <c:tickLblPos val="none"/>
        <c:crossAx val="198835584"/>
        <c:crosses val="autoZero"/>
        <c:lblAlgn val="ctr"/>
        <c:lblOffset val="100"/>
      </c:catAx>
      <c:valAx>
        <c:axId val="198835584"/>
        <c:scaling>
          <c:orientation val="minMax"/>
          <c:max val="420"/>
          <c:min val="50"/>
        </c:scaling>
        <c:axPos val="r"/>
        <c:numFmt formatCode="General" sourceLinked="1"/>
        <c:majorTickMark val="none"/>
        <c:tickLblPos val="none"/>
        <c:spPr>
          <a:ln w="9514">
            <a:noFill/>
          </a:ln>
        </c:spPr>
        <c:crossAx val="198832896"/>
        <c:crosses val="max"/>
        <c:crossBetween val="between"/>
        <c:majorUnit val="50"/>
        <c:minorUnit val="10"/>
      </c:valAx>
      <c:spPr>
        <a:solidFill>
          <a:srgbClr val="FFFFFF"/>
        </a:solidFill>
        <a:ln w="25372">
          <a:noFill/>
        </a:ln>
      </c:spPr>
    </c:plotArea>
    <c:legend>
      <c:legendPos val="b"/>
      <c:layout>
        <c:manualLayout>
          <c:xMode val="edge"/>
          <c:yMode val="edge"/>
          <c:x val="6.5252854812398158E-3"/>
          <c:y val="0.80204778156996559"/>
          <c:w val="0.99347471451876024"/>
          <c:h val="0.19112627986348119"/>
        </c:manualLayout>
      </c:layout>
      <c:spPr>
        <a:noFill/>
        <a:ln w="25372">
          <a:noFill/>
        </a:ln>
      </c:spPr>
      <c:txPr>
        <a:bodyPr/>
        <a:lstStyle/>
        <a:p>
          <a:pPr>
            <a:defRPr sz="1009"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w="3171">
      <a:solidFill>
        <a:srgbClr val="000000"/>
      </a:solidFill>
      <a:prstDash val="solid"/>
    </a:ln>
  </c:spPr>
  <c:txPr>
    <a:bodyPr/>
    <a:lstStyle/>
    <a:p>
      <a:pPr>
        <a:defRPr sz="1199" b="1" i="0" u="none" strike="noStrike" baseline="0">
          <a:solidFill>
            <a:srgbClr val="000000"/>
          </a:solidFill>
          <a:latin typeface="Arial Cyr"/>
          <a:ea typeface="Arial Cyr"/>
          <a:cs typeface="Arial Cyr"/>
        </a:defRPr>
      </a:pPr>
      <a:endParaRPr lang="ru-RU"/>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6.9918699186992006E-2"/>
          <c:y val="4.398826979472141E-2"/>
          <c:w val="0.64065040650406702"/>
          <c:h val="0.84164222873900363"/>
        </c:manualLayout>
      </c:layout>
      <c:barChart>
        <c:barDir val="col"/>
        <c:grouping val="clustered"/>
        <c:ser>
          <c:idx val="0"/>
          <c:order val="0"/>
          <c:tx>
            <c:strRef>
              <c:f>Sheet1!$A$2</c:f>
              <c:strCache>
                <c:ptCount val="1"/>
                <c:pt idx="0">
                  <c:v>Объем промышленного производства Сахалинской области</c:v>
                </c:pt>
              </c:strCache>
            </c:strRef>
          </c:tx>
          <c:spPr>
            <a:gradFill rotWithShape="0">
              <a:gsLst>
                <a:gs pos="0">
                  <a:srgbClr val="FF00FF"/>
                </a:gs>
                <a:gs pos="100000">
                  <a:srgbClr val="FFFF00"/>
                </a:gs>
              </a:gsLst>
              <a:lin ang="5400000" scaled="1"/>
            </a:gradFill>
            <a:ln w="15860">
              <a:solidFill>
                <a:srgbClr val="000000"/>
              </a:solidFill>
              <a:prstDash val="solid"/>
            </a:ln>
          </c:spPr>
          <c:cat>
            <c:numRef>
              <c:f>Sheet1!$B$1:$J$1</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Sheet1!$B$2:$J$2</c:f>
              <c:numCache>
                <c:formatCode>General</c:formatCode>
                <c:ptCount val="9"/>
                <c:pt idx="0">
                  <c:v>227.2</c:v>
                </c:pt>
                <c:pt idx="1">
                  <c:v>248.8</c:v>
                </c:pt>
                <c:pt idx="2">
                  <c:v>316.5</c:v>
                </c:pt>
                <c:pt idx="3">
                  <c:v>396.8</c:v>
                </c:pt>
                <c:pt idx="4">
                  <c:v>540.6</c:v>
                </c:pt>
                <c:pt idx="5">
                  <c:v>596.9</c:v>
                </c:pt>
                <c:pt idx="6">
                  <c:v>592.4</c:v>
                </c:pt>
                <c:pt idx="7">
                  <c:v>782.76</c:v>
                </c:pt>
                <c:pt idx="8">
                  <c:v>755.7</c:v>
                </c:pt>
              </c:numCache>
            </c:numRef>
          </c:val>
        </c:ser>
        <c:ser>
          <c:idx val="1"/>
          <c:order val="1"/>
          <c:tx>
            <c:strRef>
              <c:f>Sheet1!$A$3</c:f>
              <c:strCache>
                <c:ptCount val="1"/>
                <c:pt idx="0">
                  <c:v>в том числе Городской округ Ногликский</c:v>
                </c:pt>
              </c:strCache>
            </c:strRef>
          </c:tx>
          <c:spPr>
            <a:gradFill rotWithShape="0">
              <a:gsLst>
                <a:gs pos="0">
                  <a:srgbClr val="FF9900"/>
                </a:gs>
                <a:gs pos="100000">
                  <a:srgbClr val="00FF00"/>
                </a:gs>
              </a:gsLst>
              <a:lin ang="5400000" scaled="1"/>
            </a:gradFill>
            <a:ln w="15860">
              <a:solidFill>
                <a:srgbClr val="000000"/>
              </a:solidFill>
              <a:prstDash val="solid"/>
            </a:ln>
          </c:spPr>
          <c:cat>
            <c:numRef>
              <c:f>Sheet1!$B$1:$J$1</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Sheet1!$B$3:$J$3</c:f>
              <c:numCache>
                <c:formatCode>General</c:formatCode>
                <c:ptCount val="9"/>
                <c:pt idx="0">
                  <c:v>184.5</c:v>
                </c:pt>
                <c:pt idx="1">
                  <c:v>198.3</c:v>
                </c:pt>
                <c:pt idx="2">
                  <c:v>252</c:v>
                </c:pt>
                <c:pt idx="3">
                  <c:v>334.1</c:v>
                </c:pt>
                <c:pt idx="4">
                  <c:v>345.6</c:v>
                </c:pt>
                <c:pt idx="5">
                  <c:v>314</c:v>
                </c:pt>
                <c:pt idx="6">
                  <c:v>306</c:v>
                </c:pt>
                <c:pt idx="7">
                  <c:v>398.37</c:v>
                </c:pt>
                <c:pt idx="8">
                  <c:v>362.6</c:v>
                </c:pt>
              </c:numCache>
            </c:numRef>
          </c:val>
        </c:ser>
        <c:gapWidth val="101"/>
        <c:axId val="217846144"/>
        <c:axId val="217848064"/>
      </c:barChart>
      <c:catAx>
        <c:axId val="217846144"/>
        <c:scaling>
          <c:orientation val="minMax"/>
        </c:scaling>
        <c:axPos val="b"/>
        <c:numFmt formatCode="General" sourceLinked="1"/>
        <c:tickLblPos val="nextTo"/>
        <c:spPr>
          <a:ln w="3965">
            <a:solidFill>
              <a:srgbClr val="000000"/>
            </a:solidFill>
            <a:prstDash val="solid"/>
          </a:ln>
        </c:spPr>
        <c:txPr>
          <a:bodyPr rot="0" vert="horz"/>
          <a:lstStyle/>
          <a:p>
            <a:pPr>
              <a:defRPr sz="1100" b="1" i="0" u="none" strike="noStrike" baseline="0">
                <a:solidFill>
                  <a:srgbClr val="000000"/>
                </a:solidFill>
                <a:latin typeface="Arial Cyr"/>
                <a:ea typeface="Arial Cyr"/>
                <a:cs typeface="Arial Cyr"/>
              </a:defRPr>
            </a:pPr>
            <a:endParaRPr lang="ru-RU"/>
          </a:p>
        </c:txPr>
        <c:crossAx val="217848064"/>
        <c:crosses val="autoZero"/>
        <c:auto val="1"/>
        <c:lblAlgn val="ctr"/>
        <c:lblOffset val="100"/>
        <c:tickLblSkip val="1"/>
        <c:tickMarkSkip val="1"/>
      </c:catAx>
      <c:valAx>
        <c:axId val="217848064"/>
        <c:scaling>
          <c:orientation val="minMax"/>
        </c:scaling>
        <c:axPos val="l"/>
        <c:majorGridlines>
          <c:spPr>
            <a:ln w="3965">
              <a:solidFill>
                <a:srgbClr val="000000"/>
              </a:solidFill>
              <a:prstDash val="solid"/>
            </a:ln>
          </c:spPr>
        </c:majorGridlines>
        <c:numFmt formatCode="General" sourceLinked="1"/>
        <c:tickLblPos val="nextTo"/>
        <c:spPr>
          <a:ln w="3965">
            <a:solidFill>
              <a:srgbClr val="000000"/>
            </a:solidFill>
            <a:prstDash val="solid"/>
          </a:ln>
        </c:spPr>
        <c:txPr>
          <a:bodyPr rot="0" vert="horz"/>
          <a:lstStyle/>
          <a:p>
            <a:pPr>
              <a:defRPr sz="1100" b="1" i="0" u="none" strike="noStrike" baseline="0">
                <a:solidFill>
                  <a:srgbClr val="000000"/>
                </a:solidFill>
                <a:latin typeface="Arial Cyr"/>
                <a:ea typeface="Arial Cyr"/>
                <a:cs typeface="Arial Cyr"/>
              </a:defRPr>
            </a:pPr>
            <a:endParaRPr lang="ru-RU"/>
          </a:p>
        </c:txPr>
        <c:crossAx val="217846144"/>
        <c:crosses val="autoZero"/>
        <c:crossBetween val="between"/>
      </c:valAx>
      <c:spPr>
        <a:gradFill rotWithShape="0">
          <a:gsLst>
            <a:gs pos="0">
              <a:srgbClr val="00CCFF"/>
            </a:gs>
            <a:gs pos="100000">
              <a:srgbClr val="CCFFFF"/>
            </a:gs>
          </a:gsLst>
          <a:lin ang="2700000" scaled="1"/>
        </a:gradFill>
        <a:ln w="15860">
          <a:solidFill>
            <a:srgbClr val="C0C0C0"/>
          </a:solidFill>
          <a:prstDash val="solid"/>
        </a:ln>
      </c:spPr>
    </c:plotArea>
    <c:legend>
      <c:legendPos val="r"/>
      <c:legendEntry>
        <c:idx val="0"/>
        <c:txPr>
          <a:bodyPr/>
          <a:lstStyle/>
          <a:p>
            <a:pPr>
              <a:defRPr sz="1000" b="1" i="0" u="none" strike="noStrike" baseline="0">
                <a:solidFill>
                  <a:srgbClr val="000000"/>
                </a:solidFill>
                <a:latin typeface="Arial Cyr"/>
                <a:ea typeface="Arial Cyr"/>
                <a:cs typeface="Arial Cyr"/>
              </a:defRPr>
            </a:pPr>
            <a:endParaRPr lang="ru-RU"/>
          </a:p>
        </c:txPr>
      </c:legendEntry>
      <c:legendEntry>
        <c:idx val="1"/>
        <c:txPr>
          <a:bodyPr/>
          <a:lstStyle/>
          <a:p>
            <a:pPr>
              <a:defRPr sz="1050" b="1" i="0" u="none" strike="noStrike" baseline="0">
                <a:solidFill>
                  <a:srgbClr val="000000"/>
                </a:solidFill>
                <a:latin typeface="Arial Cyr"/>
                <a:ea typeface="Arial Cyr"/>
                <a:cs typeface="Arial Cyr"/>
              </a:defRPr>
            </a:pPr>
            <a:endParaRPr lang="ru-RU"/>
          </a:p>
        </c:txPr>
      </c:legendEntry>
      <c:layout>
        <c:manualLayout>
          <c:xMode val="edge"/>
          <c:yMode val="edge"/>
          <c:x val="0.73983741203372888"/>
          <c:y val="0.37777491691865589"/>
          <c:w val="0.26016260162601634"/>
          <c:h val="0.52885153139127572"/>
        </c:manualLayout>
      </c:layout>
      <c:spPr>
        <a:noFill/>
        <a:ln w="3965">
          <a:solidFill>
            <a:srgbClr val="000000"/>
          </a:solidFill>
          <a:prstDash val="solid"/>
        </a:ln>
      </c:spPr>
      <c:txPr>
        <a:bodyPr/>
        <a:lstStyle/>
        <a:p>
          <a:pPr>
            <a:defRPr sz="12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499" b="1" i="0" u="none" strike="noStrike" baseline="0">
          <a:solidFill>
            <a:srgbClr val="000000"/>
          </a:solidFill>
          <a:latin typeface="Arial Cyr"/>
          <a:ea typeface="Arial Cyr"/>
          <a:cs typeface="Arial Cy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747" b="1" i="0" u="none" strike="noStrike" baseline="0">
                <a:solidFill>
                  <a:srgbClr val="000000"/>
                </a:solidFill>
                <a:latin typeface="Times New Roman"/>
                <a:ea typeface="Times New Roman"/>
                <a:cs typeface="Times New Roman"/>
              </a:defRPr>
            </a:pPr>
            <a:r>
              <a:rPr lang="ru-RU" sz="1400"/>
              <a:t>Объемы добычи нефти и газа на территории 
МО "Городской округ Ногликский"
 в период 2001 - 2015 годы</a:t>
            </a:r>
          </a:p>
        </c:rich>
      </c:tx>
      <c:layout>
        <c:manualLayout>
          <c:xMode val="edge"/>
          <c:yMode val="edge"/>
          <c:x val="0.2"/>
          <c:y val="1.9148936170212766E-2"/>
        </c:manualLayout>
      </c:layout>
      <c:spPr>
        <a:noFill/>
        <a:ln w="31693">
          <a:noFill/>
        </a:ln>
      </c:spPr>
    </c:title>
    <c:view3D>
      <c:rotX val="52"/>
      <c:hPercent val="48"/>
      <c:rotY val="315"/>
      <c:depthPercent val="100"/>
      <c:rAngAx val="1"/>
    </c:view3D>
    <c:floor>
      <c:spPr>
        <a:solidFill>
          <a:srgbClr val="C0C0C0"/>
        </a:solidFill>
        <a:ln w="3175">
          <a:solidFill>
            <a:srgbClr val="000000"/>
          </a:solidFill>
          <a:prstDash val="solid"/>
        </a:ln>
      </c:spPr>
    </c:floor>
    <c:sideWall>
      <c:spPr>
        <a:gradFill rotWithShape="0">
          <a:gsLst>
            <a:gs pos="0">
              <a:srgbClr val="FFFF00"/>
            </a:gs>
            <a:gs pos="100000">
              <a:srgbClr val="CCFFFF"/>
            </a:gs>
          </a:gsLst>
          <a:lin ang="5400000" scaled="1"/>
        </a:gradFill>
        <a:ln w="3175">
          <a:solidFill>
            <a:srgbClr val="000000"/>
          </a:solidFill>
          <a:prstDash val="solid"/>
        </a:ln>
      </c:spPr>
    </c:sideWall>
    <c:backWall>
      <c:spPr>
        <a:gradFill rotWithShape="0">
          <a:gsLst>
            <a:gs pos="0">
              <a:srgbClr val="FFFF00"/>
            </a:gs>
            <a:gs pos="100000">
              <a:srgbClr val="CCFFFF"/>
            </a:gs>
          </a:gsLst>
          <a:lin ang="5400000" scaled="1"/>
        </a:gradFill>
        <a:ln w="3175">
          <a:solidFill>
            <a:srgbClr val="000000"/>
          </a:solidFill>
          <a:prstDash val="solid"/>
        </a:ln>
      </c:spPr>
    </c:backWall>
    <c:plotArea>
      <c:layout>
        <c:manualLayout>
          <c:layoutTarget val="inner"/>
          <c:xMode val="edge"/>
          <c:yMode val="edge"/>
          <c:x val="7.0749512513387505E-3"/>
          <c:y val="0.16725481731389302"/>
          <c:w val="0.9413533834586465"/>
          <c:h val="0.57872340425531965"/>
        </c:manualLayout>
      </c:layout>
      <c:bar3DChart>
        <c:barDir val="col"/>
        <c:grouping val="clustered"/>
        <c:ser>
          <c:idx val="0"/>
          <c:order val="0"/>
          <c:tx>
            <c:strRef>
              <c:f>Sheet1!$A$2</c:f>
              <c:strCache>
                <c:ptCount val="1"/>
                <c:pt idx="0">
                  <c:v>Нефть (млн. тонн)</c:v>
                </c:pt>
              </c:strCache>
            </c:strRef>
          </c:tx>
          <c:spPr>
            <a:gradFill rotWithShape="0">
              <a:gsLst>
                <a:gs pos="0">
                  <a:srgbClr val="FFFF00"/>
                </a:gs>
                <a:gs pos="100000">
                  <a:srgbClr val="C0C0C0"/>
                </a:gs>
              </a:gsLst>
              <a:lin ang="5400000" scaled="1"/>
            </a:gradFill>
            <a:ln w="15846">
              <a:solidFill>
                <a:srgbClr val="000000"/>
              </a:solidFill>
              <a:prstDash val="solid"/>
            </a:ln>
          </c:spPr>
          <c:dPt>
            <c:idx val="6"/>
            <c:spPr>
              <a:gradFill rotWithShape="0">
                <a:gsLst>
                  <a:gs pos="0">
                    <a:srgbClr val="FFFF00"/>
                  </a:gs>
                  <a:gs pos="100000">
                    <a:srgbClr val="FFFFFF"/>
                  </a:gs>
                </a:gsLst>
                <a:lin ang="5400000" scaled="1"/>
              </a:gradFill>
              <a:ln w="15846">
                <a:solidFill>
                  <a:srgbClr val="000000"/>
                </a:solidFill>
                <a:prstDash val="solid"/>
              </a:ln>
            </c:spPr>
          </c:dPt>
          <c:cat>
            <c:numRef>
              <c:f>Sheet1!$B$1:$P$1</c:f>
              <c:numCache>
                <c:formatCode>General</c:formatCode>
                <c:ptCount val="1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numCache>
            </c:numRef>
          </c:cat>
          <c:val>
            <c:numRef>
              <c:f>Sheet1!$B$2:$P$2</c:f>
              <c:numCache>
                <c:formatCode>General</c:formatCode>
                <c:ptCount val="15"/>
                <c:pt idx="0">
                  <c:v>2.8</c:v>
                </c:pt>
                <c:pt idx="1">
                  <c:v>2.2999999999999998</c:v>
                </c:pt>
                <c:pt idx="2">
                  <c:v>2.2000000000000002</c:v>
                </c:pt>
                <c:pt idx="3">
                  <c:v>2.4</c:v>
                </c:pt>
                <c:pt idx="4">
                  <c:v>2.9</c:v>
                </c:pt>
                <c:pt idx="5">
                  <c:v>4.8</c:v>
                </c:pt>
                <c:pt idx="6">
                  <c:v>13.6</c:v>
                </c:pt>
                <c:pt idx="7">
                  <c:v>11.6</c:v>
                </c:pt>
                <c:pt idx="8">
                  <c:v>14.2</c:v>
                </c:pt>
                <c:pt idx="9">
                  <c:v>13.5</c:v>
                </c:pt>
                <c:pt idx="10">
                  <c:v>12.5</c:v>
                </c:pt>
                <c:pt idx="11">
                  <c:v>11.7</c:v>
                </c:pt>
                <c:pt idx="12">
                  <c:v>12.5</c:v>
                </c:pt>
                <c:pt idx="13">
                  <c:v>13.6</c:v>
                </c:pt>
                <c:pt idx="14">
                  <c:v>15.8</c:v>
                </c:pt>
              </c:numCache>
            </c:numRef>
          </c:val>
        </c:ser>
        <c:ser>
          <c:idx val="1"/>
          <c:order val="1"/>
          <c:tx>
            <c:strRef>
              <c:f>Sheet1!$A$3</c:f>
              <c:strCache>
                <c:ptCount val="1"/>
                <c:pt idx="0">
                  <c:v>Газ (млрд.куб.метров)</c:v>
                </c:pt>
              </c:strCache>
            </c:strRef>
          </c:tx>
          <c:spPr>
            <a:gradFill rotWithShape="0">
              <a:gsLst>
                <a:gs pos="0">
                  <a:srgbClr val="00FFFF"/>
                </a:gs>
                <a:gs pos="100000">
                  <a:srgbClr val="FFCC99"/>
                </a:gs>
              </a:gsLst>
              <a:lin ang="5400000" scaled="1"/>
            </a:gradFill>
            <a:ln w="15846">
              <a:solidFill>
                <a:srgbClr val="000000"/>
              </a:solidFill>
              <a:prstDash val="solid"/>
            </a:ln>
          </c:spPr>
          <c:cat>
            <c:numRef>
              <c:f>Sheet1!$B$1:$P$1</c:f>
              <c:numCache>
                <c:formatCode>General</c:formatCode>
                <c:ptCount val="1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numCache>
            </c:numRef>
          </c:cat>
          <c:val>
            <c:numRef>
              <c:f>Sheet1!$B$3:$P$3</c:f>
              <c:numCache>
                <c:formatCode>General</c:formatCode>
                <c:ptCount val="15"/>
                <c:pt idx="0">
                  <c:v>0.97000000000000064</c:v>
                </c:pt>
                <c:pt idx="1">
                  <c:v>0.96000000000000063</c:v>
                </c:pt>
                <c:pt idx="2">
                  <c:v>1.2</c:v>
                </c:pt>
                <c:pt idx="3">
                  <c:v>1.1000000000000001</c:v>
                </c:pt>
                <c:pt idx="4">
                  <c:v>1.2</c:v>
                </c:pt>
                <c:pt idx="5">
                  <c:v>1.5</c:v>
                </c:pt>
                <c:pt idx="6">
                  <c:v>6</c:v>
                </c:pt>
                <c:pt idx="7">
                  <c:v>7.1</c:v>
                </c:pt>
                <c:pt idx="8">
                  <c:v>18.399999999999999</c:v>
                </c:pt>
                <c:pt idx="9">
                  <c:v>24</c:v>
                </c:pt>
                <c:pt idx="10">
                  <c:v>23.4</c:v>
                </c:pt>
                <c:pt idx="11">
                  <c:v>24.7</c:v>
                </c:pt>
                <c:pt idx="12">
                  <c:v>26.88</c:v>
                </c:pt>
                <c:pt idx="13">
                  <c:v>27.8</c:v>
                </c:pt>
                <c:pt idx="14">
                  <c:v>27.9</c:v>
                </c:pt>
              </c:numCache>
            </c:numRef>
          </c:val>
        </c:ser>
        <c:gapWidth val="280"/>
        <c:gapDepth val="0"/>
        <c:shape val="box"/>
        <c:axId val="262812416"/>
        <c:axId val="262814336"/>
        <c:axId val="0"/>
      </c:bar3DChart>
      <c:catAx>
        <c:axId val="262812416"/>
        <c:scaling>
          <c:orientation val="minMax"/>
        </c:scaling>
        <c:axPos val="b"/>
        <c:numFmt formatCode="General" sourceLinked="1"/>
        <c:tickLblPos val="low"/>
        <c:spPr>
          <a:ln w="3962">
            <a:solidFill>
              <a:srgbClr val="000000"/>
            </a:solidFill>
            <a:prstDash val="solid"/>
          </a:ln>
        </c:spPr>
        <c:txPr>
          <a:bodyPr rot="0" vert="horz"/>
          <a:lstStyle/>
          <a:p>
            <a:pPr>
              <a:defRPr sz="1300" b="1" i="0" u="none" strike="noStrike" baseline="0">
                <a:solidFill>
                  <a:srgbClr val="000000"/>
                </a:solidFill>
                <a:latin typeface="Arial Cyr"/>
                <a:ea typeface="Arial Cyr"/>
                <a:cs typeface="Arial Cyr"/>
              </a:defRPr>
            </a:pPr>
            <a:endParaRPr lang="ru-RU"/>
          </a:p>
        </c:txPr>
        <c:crossAx val="262814336"/>
        <c:crosses val="autoZero"/>
        <c:auto val="1"/>
        <c:lblAlgn val="ctr"/>
        <c:lblOffset val="100"/>
        <c:tickLblSkip val="2"/>
        <c:tickMarkSkip val="1"/>
      </c:catAx>
      <c:valAx>
        <c:axId val="262814336"/>
        <c:scaling>
          <c:orientation val="minMax"/>
        </c:scaling>
        <c:axPos val="r"/>
        <c:majorGridlines>
          <c:spPr>
            <a:ln w="3962">
              <a:solidFill>
                <a:srgbClr val="000000"/>
              </a:solidFill>
              <a:prstDash val="solid"/>
            </a:ln>
          </c:spPr>
        </c:majorGridlines>
        <c:numFmt formatCode="General" sourceLinked="1"/>
        <c:tickLblPos val="nextTo"/>
        <c:spPr>
          <a:ln w="3962">
            <a:solidFill>
              <a:srgbClr val="000000"/>
            </a:solidFill>
            <a:prstDash val="solid"/>
          </a:ln>
        </c:spPr>
        <c:txPr>
          <a:bodyPr rot="0" vert="horz"/>
          <a:lstStyle/>
          <a:p>
            <a:pPr>
              <a:defRPr sz="1061" b="1" i="0" u="none" strike="noStrike" baseline="0">
                <a:solidFill>
                  <a:srgbClr val="000000"/>
                </a:solidFill>
                <a:latin typeface="Arial Cyr"/>
                <a:ea typeface="Arial Cyr"/>
                <a:cs typeface="Arial Cyr"/>
              </a:defRPr>
            </a:pPr>
            <a:endParaRPr lang="ru-RU"/>
          </a:p>
        </c:txPr>
        <c:crossAx val="262812416"/>
        <c:crosses val="max"/>
        <c:crossBetween val="between"/>
      </c:valAx>
      <c:spPr>
        <a:noFill/>
        <a:ln w="31693">
          <a:noFill/>
        </a:ln>
      </c:spPr>
    </c:plotArea>
    <c:legend>
      <c:legendPos val="b"/>
      <c:layout>
        <c:manualLayout>
          <c:xMode val="edge"/>
          <c:yMode val="edge"/>
          <c:x val="0.18678555549836248"/>
          <c:y val="0.85032426819998763"/>
          <c:w val="0.62642873349275263"/>
          <c:h val="5.2985823065903472E-2"/>
        </c:manualLayout>
      </c:layout>
      <c:spPr>
        <a:noFill/>
        <a:ln w="3962">
          <a:solidFill>
            <a:srgbClr val="000000"/>
          </a:solidFill>
          <a:prstDash val="solid"/>
        </a:ln>
      </c:spPr>
      <c:txPr>
        <a:bodyPr/>
        <a:lstStyle/>
        <a:p>
          <a:pPr>
            <a:defRPr sz="12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2402" b="1" i="0" u="none" strike="noStrike" baseline="0">
          <a:solidFill>
            <a:srgbClr val="000000"/>
          </a:solidFill>
          <a:latin typeface="Arial Cyr"/>
          <a:ea typeface="Arial Cyr"/>
          <a:cs typeface="Arial Cyr"/>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64"/>
      <c:depthPercent val="100"/>
      <c:rAngAx val="1"/>
    </c:view3D>
    <c:floor>
      <c:spPr>
        <a:solidFill>
          <a:srgbClr val="C0C0C0"/>
        </a:solidFill>
        <a:ln w="3175">
          <a:solidFill>
            <a:srgbClr val="000000"/>
          </a:solidFill>
          <a:prstDash val="solid"/>
        </a:ln>
      </c:spPr>
    </c:floor>
    <c:sideWall>
      <c:spPr>
        <a:gradFill rotWithShape="0">
          <a:gsLst>
            <a:gs pos="0">
              <a:srgbClr val="FFFFFF"/>
            </a:gs>
            <a:gs pos="100000">
              <a:srgbClr val="C0C0C0"/>
            </a:gs>
          </a:gsLst>
          <a:lin ang="5400000" scaled="1"/>
        </a:gradFill>
        <a:ln w="25400">
          <a:noFill/>
        </a:ln>
      </c:spPr>
    </c:sideWall>
    <c:backWall>
      <c:spPr>
        <a:gradFill rotWithShape="0">
          <a:gsLst>
            <a:gs pos="0">
              <a:srgbClr val="FFFFFF"/>
            </a:gs>
            <a:gs pos="100000">
              <a:srgbClr val="C0C0C0"/>
            </a:gs>
          </a:gsLst>
          <a:lin ang="5400000" scaled="1"/>
        </a:gradFill>
        <a:ln w="25400">
          <a:noFill/>
        </a:ln>
      </c:spPr>
    </c:backWall>
    <c:plotArea>
      <c:layout>
        <c:manualLayout>
          <c:layoutTarget val="inner"/>
          <c:xMode val="edge"/>
          <c:yMode val="edge"/>
          <c:x val="7.993474714518771E-2"/>
          <c:y val="0.11074735153982507"/>
          <c:w val="0.82055464926590538"/>
          <c:h val="0.76903834585637121"/>
        </c:manualLayout>
      </c:layout>
      <c:bar3DChart>
        <c:barDir val="col"/>
        <c:grouping val="clustered"/>
        <c:ser>
          <c:idx val="0"/>
          <c:order val="0"/>
          <c:tx>
            <c:strRef>
              <c:f>Sheet1!$A$2</c:f>
              <c:strCache>
                <c:ptCount val="1"/>
                <c:pt idx="0">
                  <c:v>Электроэнергия (млн.Квт.час)</c:v>
                </c:pt>
              </c:strCache>
            </c:strRef>
          </c:tx>
          <c:spPr>
            <a:gradFill rotWithShape="0">
              <a:gsLst>
                <a:gs pos="29000">
                  <a:srgbClr val="3399FF"/>
                </a:gs>
                <a:gs pos="100000">
                  <a:srgbClr val="FFCC99"/>
                </a:gs>
              </a:gsLst>
              <a:lin ang="5400000" scaled="1"/>
            </a:gradFill>
            <a:ln w="15855">
              <a:solidFill>
                <a:srgbClr val="000000"/>
              </a:solidFill>
              <a:prstDash val="solid"/>
            </a:ln>
            <a:scene3d>
              <a:camera prst="orthographicFront"/>
              <a:lightRig rig="threePt" dir="t"/>
            </a:scene3d>
            <a:sp3d>
              <a:bevelT w="165100" prst="coolSlant"/>
              <a:contourClr>
                <a:srgbClr val="000000"/>
              </a:contourClr>
            </a:sp3d>
          </c:spPr>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Sheet1!$B$2:$L$2</c:f>
              <c:numCache>
                <c:formatCode>General</c:formatCode>
                <c:ptCount val="11"/>
                <c:pt idx="0">
                  <c:v>230.7</c:v>
                </c:pt>
                <c:pt idx="1">
                  <c:v>230.5</c:v>
                </c:pt>
                <c:pt idx="2">
                  <c:v>234.3</c:v>
                </c:pt>
                <c:pt idx="3">
                  <c:v>241</c:v>
                </c:pt>
                <c:pt idx="4">
                  <c:v>238.3</c:v>
                </c:pt>
                <c:pt idx="5">
                  <c:v>992</c:v>
                </c:pt>
                <c:pt idx="6">
                  <c:v>995.8</c:v>
                </c:pt>
                <c:pt idx="7">
                  <c:v>976.2</c:v>
                </c:pt>
                <c:pt idx="8">
                  <c:v>993.6</c:v>
                </c:pt>
                <c:pt idx="9">
                  <c:v>1008.2</c:v>
                </c:pt>
                <c:pt idx="10">
                  <c:v>1236</c:v>
                </c:pt>
              </c:numCache>
            </c:numRef>
          </c:val>
        </c:ser>
        <c:gapDepth val="0"/>
        <c:shape val="box"/>
        <c:axId val="271059968"/>
        <c:axId val="271283328"/>
        <c:axId val="0"/>
      </c:bar3DChart>
      <c:catAx>
        <c:axId val="271059968"/>
        <c:scaling>
          <c:orientation val="minMax"/>
        </c:scaling>
        <c:axPos val="b"/>
        <c:numFmt formatCode="General" sourceLinked="1"/>
        <c:tickLblPos val="low"/>
        <c:spPr>
          <a:ln w="3964">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71283328"/>
        <c:crosses val="autoZero"/>
        <c:auto val="1"/>
        <c:lblAlgn val="ctr"/>
        <c:lblOffset val="100"/>
        <c:tickLblSkip val="1"/>
        <c:tickMarkSkip val="1"/>
      </c:catAx>
      <c:valAx>
        <c:axId val="271283328"/>
        <c:scaling>
          <c:orientation val="minMax"/>
          <c:max val="1300"/>
          <c:min val="0"/>
        </c:scaling>
        <c:axPos val="l"/>
        <c:majorGridlines>
          <c:spPr>
            <a:ln w="3964">
              <a:solidFill>
                <a:srgbClr val="000000"/>
              </a:solidFill>
              <a:prstDash val="solid"/>
            </a:ln>
          </c:spPr>
        </c:majorGridlines>
        <c:numFmt formatCode="General" sourceLinked="1"/>
        <c:tickLblPos val="nextTo"/>
        <c:spPr>
          <a:ln w="3964">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71059968"/>
        <c:crosses val="autoZero"/>
        <c:crossBetween val="between"/>
        <c:majorUnit val="100"/>
      </c:valAx>
      <c:spPr>
        <a:noFill/>
        <a:ln w="31709">
          <a:noFill/>
        </a:ln>
      </c:spPr>
    </c:plotArea>
    <c:legend>
      <c:legendPos val="t"/>
      <c:layout>
        <c:manualLayout>
          <c:xMode val="edge"/>
          <c:yMode val="edge"/>
          <c:x val="0.14518760195758565"/>
          <c:y val="4.7732696897374877E-3"/>
          <c:w val="0.76182707993474763"/>
          <c:h val="6.6825775656324568E-2"/>
        </c:manualLayout>
      </c:layout>
      <c:spPr>
        <a:noFill/>
        <a:ln w="31709">
          <a:noFill/>
        </a:ln>
      </c:spPr>
      <c:txPr>
        <a:bodyPr/>
        <a:lstStyle/>
        <a:p>
          <a:pPr>
            <a:defRPr sz="12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2216" b="1" i="0" u="none" strike="noStrike" baseline="0">
          <a:solidFill>
            <a:srgbClr val="000000"/>
          </a:solidFill>
          <a:latin typeface="Arial Cyr"/>
          <a:ea typeface="Arial Cyr"/>
          <a:cs typeface="Arial Cyr"/>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4"/>
      <c:hPercent val="66"/>
      <c:rotY val="19"/>
      <c:depthPercent val="100"/>
      <c:rAngAx val="1"/>
    </c:view3D>
    <c:floor>
      <c:spPr>
        <a:solidFill>
          <a:srgbClr val="C0C0C0"/>
        </a:solidFill>
        <a:ln w="3175">
          <a:solidFill>
            <a:srgbClr val="000000"/>
          </a:solidFill>
          <a:prstDash val="solid"/>
        </a:ln>
      </c:spPr>
    </c:floor>
    <c:sideWall>
      <c:spPr>
        <a:gradFill rotWithShape="0">
          <a:gsLst>
            <a:gs pos="0">
              <a:srgbClr val="CCFFFF"/>
            </a:gs>
            <a:gs pos="100000">
              <a:srgbClr val="C0C0C0"/>
            </a:gs>
          </a:gsLst>
          <a:lin ang="5400000" scaled="1"/>
        </a:gradFill>
        <a:ln w="12700">
          <a:solidFill>
            <a:srgbClr val="808080"/>
          </a:solidFill>
          <a:prstDash val="solid"/>
        </a:ln>
      </c:spPr>
    </c:sideWall>
    <c:backWall>
      <c:spPr>
        <a:gradFill rotWithShape="0">
          <a:gsLst>
            <a:gs pos="0">
              <a:srgbClr val="CCFFFF"/>
            </a:gs>
            <a:gs pos="100000">
              <a:srgbClr val="C0C0C0"/>
            </a:gs>
          </a:gsLst>
          <a:lin ang="5400000" scaled="1"/>
        </a:gradFill>
        <a:ln w="12700">
          <a:solidFill>
            <a:srgbClr val="808080"/>
          </a:solidFill>
          <a:prstDash val="solid"/>
        </a:ln>
      </c:spPr>
    </c:backWall>
    <c:plotArea>
      <c:layout>
        <c:manualLayout>
          <c:layoutTarget val="inner"/>
          <c:xMode val="edge"/>
          <c:yMode val="edge"/>
          <c:x val="7.667210440456769E-2"/>
          <c:y val="0.12143860641392143"/>
          <c:w val="0.90375203915171287"/>
          <c:h val="0.77446038630718561"/>
        </c:manualLayout>
      </c:layout>
      <c:bar3DChart>
        <c:barDir val="col"/>
        <c:grouping val="clustered"/>
        <c:ser>
          <c:idx val="0"/>
          <c:order val="0"/>
          <c:tx>
            <c:strRef>
              <c:f>Sheet1!$A$2</c:f>
              <c:strCache>
                <c:ptCount val="1"/>
                <c:pt idx="0">
                  <c:v>Теплоэнергия (тыс.Гкал.)</c:v>
                </c:pt>
              </c:strCache>
            </c:strRef>
          </c:tx>
          <c:spPr>
            <a:gradFill rotWithShape="0">
              <a:gsLst>
                <a:gs pos="0">
                  <a:srgbClr val="FFFF00"/>
                </a:gs>
                <a:gs pos="100000">
                  <a:srgbClr val="FFCC99"/>
                </a:gs>
              </a:gsLst>
              <a:lin ang="5400000" scaled="1"/>
            </a:gradFill>
            <a:ln w="15847">
              <a:solidFill>
                <a:srgbClr val="000000"/>
              </a:solidFill>
              <a:prstDash val="solid"/>
            </a:ln>
            <a:scene3d>
              <a:camera prst="orthographicFront"/>
              <a:lightRig rig="threePt" dir="t"/>
            </a:scene3d>
            <a:sp3d prstMaterial="dkEdge">
              <a:bevelT w="114300" prst="artDeco"/>
              <a:contourClr>
                <a:srgbClr val="000000"/>
              </a:contourClr>
            </a:sp3d>
          </c:spPr>
          <c:cat>
            <c:numRef>
              <c:f>Sheet1!$B$1:$L$1</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Sheet1!$B$2:$L$2</c:f>
              <c:numCache>
                <c:formatCode>General</c:formatCode>
                <c:ptCount val="11"/>
                <c:pt idx="0">
                  <c:v>752.4</c:v>
                </c:pt>
                <c:pt idx="1">
                  <c:v>745.7</c:v>
                </c:pt>
                <c:pt idx="2">
                  <c:v>740.5</c:v>
                </c:pt>
                <c:pt idx="3">
                  <c:v>612.6</c:v>
                </c:pt>
                <c:pt idx="4">
                  <c:v>675.1</c:v>
                </c:pt>
                <c:pt idx="5" formatCode="#,##0.0">
                  <c:v>1035.5</c:v>
                </c:pt>
                <c:pt idx="6" formatCode="#,##0.0">
                  <c:v>1002.7</c:v>
                </c:pt>
                <c:pt idx="7" formatCode="#,##0.00">
                  <c:v>906.3</c:v>
                </c:pt>
                <c:pt idx="8">
                  <c:v>456.6</c:v>
                </c:pt>
                <c:pt idx="9">
                  <c:v>475</c:v>
                </c:pt>
                <c:pt idx="10">
                  <c:v>503.5</c:v>
                </c:pt>
              </c:numCache>
            </c:numRef>
          </c:val>
        </c:ser>
        <c:gapDepth val="0"/>
        <c:shape val="box"/>
        <c:axId val="272238848"/>
        <c:axId val="277574400"/>
        <c:axId val="0"/>
      </c:bar3DChart>
      <c:catAx>
        <c:axId val="272238848"/>
        <c:scaling>
          <c:orientation val="minMax"/>
        </c:scaling>
        <c:axPos val="b"/>
        <c:numFmt formatCode="General" sourceLinked="1"/>
        <c:tickLblPos val="low"/>
        <c:spPr>
          <a:ln w="3962">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77574400"/>
        <c:crosses val="autoZero"/>
        <c:auto val="1"/>
        <c:lblAlgn val="ctr"/>
        <c:lblOffset val="100"/>
        <c:tickLblSkip val="1"/>
        <c:tickMarkSkip val="1"/>
      </c:catAx>
      <c:valAx>
        <c:axId val="277574400"/>
        <c:scaling>
          <c:orientation val="minMax"/>
        </c:scaling>
        <c:axPos val="l"/>
        <c:majorGridlines>
          <c:spPr>
            <a:ln w="3962">
              <a:solidFill>
                <a:srgbClr val="000000"/>
              </a:solidFill>
              <a:prstDash val="solid"/>
            </a:ln>
          </c:spPr>
        </c:majorGridlines>
        <c:numFmt formatCode="General" sourceLinked="1"/>
        <c:tickLblPos val="nextTo"/>
        <c:spPr>
          <a:ln w="3962">
            <a:solidFill>
              <a:srgbClr val="000000"/>
            </a:solidFill>
            <a:prstDash val="solid"/>
          </a:ln>
        </c:spPr>
        <c:txPr>
          <a:bodyPr rot="0" vert="horz"/>
          <a:lstStyle/>
          <a:p>
            <a:pPr>
              <a:defRPr sz="1200" b="0" i="0" u="none" strike="noStrike" baseline="0">
                <a:solidFill>
                  <a:srgbClr val="000000"/>
                </a:solidFill>
                <a:latin typeface="Arial Cyr"/>
                <a:ea typeface="Arial Cyr"/>
                <a:cs typeface="Arial Cyr"/>
              </a:defRPr>
            </a:pPr>
            <a:endParaRPr lang="ru-RU"/>
          </a:p>
        </c:txPr>
        <c:crossAx val="272238848"/>
        <c:crosses val="autoZero"/>
        <c:crossBetween val="between"/>
        <c:majorUnit val="300"/>
      </c:valAx>
      <c:spPr>
        <a:noFill/>
        <a:ln w="31695">
          <a:noFill/>
        </a:ln>
      </c:spPr>
    </c:plotArea>
    <c:legend>
      <c:legendPos val="t"/>
      <c:legendEntry>
        <c:idx val="0"/>
        <c:txPr>
          <a:bodyPr/>
          <a:lstStyle/>
          <a:p>
            <a:pPr>
              <a:defRPr sz="1200" b="1" i="0" u="none" strike="noStrike" baseline="0">
                <a:solidFill>
                  <a:srgbClr val="000000"/>
                </a:solidFill>
                <a:latin typeface="Arial Cyr"/>
                <a:ea typeface="Arial Cyr"/>
                <a:cs typeface="Arial Cyr"/>
              </a:defRPr>
            </a:pPr>
            <a:endParaRPr lang="ru-RU"/>
          </a:p>
        </c:txPr>
      </c:legendEntry>
      <c:layout>
        <c:manualLayout>
          <c:xMode val="edge"/>
          <c:yMode val="edge"/>
          <c:x val="9.9510603588907065E-2"/>
          <c:y val="4.2712937067594117E-2"/>
          <c:w val="0.77487765089722671"/>
          <c:h val="7.4310694782266443E-2"/>
        </c:manualLayout>
      </c:layout>
      <c:spPr>
        <a:noFill/>
        <a:ln w="31695">
          <a:noFill/>
        </a:ln>
      </c:spPr>
      <c:txPr>
        <a:bodyPr/>
        <a:lstStyle/>
        <a:p>
          <a:pPr>
            <a:defRPr sz="12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2215" b="1" i="0" u="none" strike="noStrike" baseline="0">
          <a:solidFill>
            <a:srgbClr val="000000"/>
          </a:solidFill>
          <a:latin typeface="Arial Cyr"/>
          <a:ea typeface="Arial Cyr"/>
          <a:cs typeface="Arial Cyr"/>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8.8379705400982E-2"/>
          <c:y val="6.8965517241379309E-2"/>
          <c:w val="0.91162029459901939"/>
          <c:h val="0.66666666666666663"/>
        </c:manualLayout>
      </c:layout>
      <c:barChart>
        <c:barDir val="col"/>
        <c:grouping val="clustered"/>
        <c:ser>
          <c:idx val="0"/>
          <c:order val="0"/>
          <c:tx>
            <c:strRef>
              <c:f>Sheet1!$A$2</c:f>
              <c:strCache>
                <c:ptCount val="1"/>
                <c:pt idx="0">
                  <c:v>Вылов всего</c:v>
                </c:pt>
              </c:strCache>
            </c:strRef>
          </c:tx>
          <c:spPr>
            <a:gradFill rotWithShape="0">
              <a:gsLst>
                <a:gs pos="0">
                  <a:srgbClr val="3FB16A"/>
                </a:gs>
                <a:gs pos="100000">
                  <a:srgbClr val="00CCFF"/>
                </a:gs>
              </a:gsLst>
              <a:lin ang="5400000" scaled="1"/>
            </a:gradFill>
            <a:ln w="15867">
              <a:solidFill>
                <a:srgbClr val="000000"/>
              </a:solidFill>
              <a:prstDash val="solid"/>
            </a:ln>
          </c:spPr>
          <c:dLbls>
            <c:txPr>
              <a:bodyPr/>
              <a:lstStyle/>
              <a:p>
                <a:pPr>
                  <a:defRPr sz="900" b="0" i="0" baseline="0"/>
                </a:pPr>
                <a:endParaRPr lang="ru-RU"/>
              </a:p>
            </c:txPr>
            <c:showVal val="1"/>
          </c:dLbls>
          <c:cat>
            <c:numRef>
              <c:f>Sheet1!$B$1:$J$1</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Sheet1!$B$2:$J$2</c:f>
              <c:numCache>
                <c:formatCode>General</c:formatCode>
                <c:ptCount val="9"/>
                <c:pt idx="0">
                  <c:v>5.6</c:v>
                </c:pt>
                <c:pt idx="1">
                  <c:v>0.9</c:v>
                </c:pt>
                <c:pt idx="2">
                  <c:v>11.9</c:v>
                </c:pt>
                <c:pt idx="3">
                  <c:v>3.6</c:v>
                </c:pt>
                <c:pt idx="4">
                  <c:v>12.5</c:v>
                </c:pt>
                <c:pt idx="5">
                  <c:v>1.9000000000000001</c:v>
                </c:pt>
                <c:pt idx="6">
                  <c:v>21.5</c:v>
                </c:pt>
                <c:pt idx="7">
                  <c:v>3.8699999999999997</c:v>
                </c:pt>
                <c:pt idx="8">
                  <c:v>14</c:v>
                </c:pt>
              </c:numCache>
            </c:numRef>
          </c:val>
        </c:ser>
        <c:ser>
          <c:idx val="1"/>
          <c:order val="1"/>
          <c:tx>
            <c:strRef>
              <c:f>Sheet1!$A$3</c:f>
              <c:strCache>
                <c:ptCount val="1"/>
                <c:pt idx="0">
                  <c:v>в т.ч. лососевых</c:v>
                </c:pt>
              </c:strCache>
            </c:strRef>
          </c:tx>
          <c:spPr>
            <a:gradFill rotWithShape="0">
              <a:gsLst>
                <a:gs pos="0">
                  <a:srgbClr val="FF3300"/>
                </a:gs>
                <a:gs pos="100000">
                  <a:srgbClr val="FF9900"/>
                </a:gs>
              </a:gsLst>
              <a:lin ang="5400000" scaled="1"/>
            </a:gradFill>
            <a:ln w="15867">
              <a:solidFill>
                <a:srgbClr val="000000"/>
              </a:solidFill>
              <a:prstDash val="solid"/>
            </a:ln>
          </c:spPr>
          <c:cat>
            <c:numRef>
              <c:f>Sheet1!$B$1:$J$1</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Sheet1!$B$3:$J$3</c:f>
              <c:numCache>
                <c:formatCode>General</c:formatCode>
                <c:ptCount val="9"/>
                <c:pt idx="0">
                  <c:v>5.4</c:v>
                </c:pt>
                <c:pt idx="1">
                  <c:v>0.8</c:v>
                </c:pt>
                <c:pt idx="2">
                  <c:v>11.6</c:v>
                </c:pt>
                <c:pt idx="3">
                  <c:v>2.8</c:v>
                </c:pt>
                <c:pt idx="4">
                  <c:v>12.2</c:v>
                </c:pt>
                <c:pt idx="5">
                  <c:v>1.7</c:v>
                </c:pt>
                <c:pt idx="6">
                  <c:v>21.2</c:v>
                </c:pt>
                <c:pt idx="7">
                  <c:v>3.5</c:v>
                </c:pt>
                <c:pt idx="8">
                  <c:v>13.68</c:v>
                </c:pt>
              </c:numCache>
            </c:numRef>
          </c:val>
        </c:ser>
        <c:axId val="278576128"/>
        <c:axId val="216752128"/>
      </c:barChart>
      <c:catAx>
        <c:axId val="278576128"/>
        <c:scaling>
          <c:orientation val="minMax"/>
        </c:scaling>
        <c:axPos val="b"/>
        <c:numFmt formatCode="General" sourceLinked="1"/>
        <c:tickLblPos val="nextTo"/>
        <c:spPr>
          <a:ln w="3967">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16752128"/>
        <c:crosses val="autoZero"/>
        <c:auto val="1"/>
        <c:lblAlgn val="ctr"/>
        <c:lblOffset val="100"/>
        <c:tickLblSkip val="1"/>
        <c:tickMarkSkip val="1"/>
      </c:catAx>
      <c:valAx>
        <c:axId val="216752128"/>
        <c:scaling>
          <c:orientation val="minMax"/>
        </c:scaling>
        <c:axPos val="l"/>
        <c:majorGridlines>
          <c:spPr>
            <a:ln w="3967">
              <a:solidFill>
                <a:srgbClr val="000000"/>
              </a:solidFill>
              <a:prstDash val="solid"/>
            </a:ln>
          </c:spPr>
        </c:majorGridlines>
        <c:numFmt formatCode="General" sourceLinked="1"/>
        <c:tickLblPos val="nextTo"/>
        <c:spPr>
          <a:ln w="3967">
            <a:solidFill>
              <a:srgbClr val="000000"/>
            </a:solidFill>
            <a:prstDash val="solid"/>
          </a:ln>
        </c:spPr>
        <c:txPr>
          <a:bodyPr rot="0" vert="horz"/>
          <a:lstStyle/>
          <a:p>
            <a:pPr>
              <a:defRPr sz="1100" b="0" i="0" u="none" strike="noStrike" baseline="0">
                <a:solidFill>
                  <a:srgbClr val="000000"/>
                </a:solidFill>
                <a:latin typeface="Arial Cyr"/>
                <a:ea typeface="Arial Cyr"/>
                <a:cs typeface="Arial Cyr"/>
              </a:defRPr>
            </a:pPr>
            <a:endParaRPr lang="ru-RU"/>
          </a:p>
        </c:txPr>
        <c:crossAx val="278576128"/>
        <c:crosses val="autoZero"/>
        <c:crossBetween val="between"/>
        <c:majorUnit val="2"/>
        <c:minorUnit val="0.2"/>
      </c:valAx>
      <c:spPr>
        <a:gradFill rotWithShape="0">
          <a:gsLst>
            <a:gs pos="0">
              <a:srgbClr val="C0C0C0"/>
            </a:gs>
            <a:gs pos="100000">
              <a:srgbClr val="CCFFFF"/>
            </a:gs>
          </a:gsLst>
          <a:lin ang="2700000" scaled="1"/>
        </a:gradFill>
        <a:ln w="31734">
          <a:noFill/>
        </a:ln>
      </c:spPr>
    </c:plotArea>
    <c:legend>
      <c:legendPos val="b"/>
      <c:spPr>
        <a:noFill/>
        <a:ln w="3967">
          <a:solidFill>
            <a:srgbClr val="000000"/>
          </a:solidFill>
          <a:prstDash val="solid"/>
        </a:ln>
      </c:spPr>
      <c:txPr>
        <a:bodyPr/>
        <a:lstStyle/>
        <a:p>
          <a:pPr>
            <a:defRPr sz="1200" b="0"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905" b="1" i="0" u="none" strike="noStrike" baseline="0">
          <a:solidFill>
            <a:srgbClr val="000000"/>
          </a:solidFill>
          <a:latin typeface="Arial Cyr"/>
          <a:ea typeface="Arial Cyr"/>
          <a:cs typeface="Arial Cyr"/>
        </a:defRPr>
      </a:pPr>
      <a:endParaRPr lang="ru-RU"/>
    </a:p>
  </c:tx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237A803-7B38-459F-A481-87AA01757E31}" type="doc">
      <dgm:prSet loTypeId="urn:microsoft.com/office/officeart/2005/8/layout/orgChart1" loCatId="hierarchy" qsTypeId="urn:microsoft.com/office/officeart/2005/8/quickstyle/simple1" qsCatId="simple" csTypeId="urn:microsoft.com/office/officeart/2005/8/colors/accent1_2" csCatId="accent1" phldr="1"/>
      <dgm:spPr/>
    </dgm:pt>
    <dgm:pt modelId="{EC1FEF59-D801-4F97-95E3-DE0D999B6AC1}">
      <dgm:prSet/>
      <dgm:spPr>
        <a:solidFill>
          <a:srgbClr val="3BB4D1"/>
        </a:solidFill>
      </dgm:spPr>
      <dgm:t>
        <a:bodyPr/>
        <a:lstStyle/>
        <a:p>
          <a:pPr marR="0" algn="ctr" rtl="0"/>
          <a:r>
            <a:rPr lang="ru-RU" b="1" baseline="0" smtClean="0">
              <a:latin typeface="Calibri"/>
            </a:rPr>
            <a:t>Получатели субсидий в 2015 году по видам экономической деятельности </a:t>
          </a:r>
          <a:endParaRPr lang="ru-RU" smtClean="0"/>
        </a:p>
      </dgm:t>
    </dgm:pt>
    <dgm:pt modelId="{19E1FCA9-0652-4706-A082-43BA2ADF6BD5}" type="parTrans" cxnId="{6389D8E2-7D92-4EF2-8389-97FB042F27E9}">
      <dgm:prSet/>
      <dgm:spPr/>
      <dgm:t>
        <a:bodyPr/>
        <a:lstStyle/>
        <a:p>
          <a:endParaRPr lang="ru-RU"/>
        </a:p>
      </dgm:t>
    </dgm:pt>
    <dgm:pt modelId="{7863A2B1-303B-4B45-9B74-DCB3C9A61C57}" type="sibTrans" cxnId="{6389D8E2-7D92-4EF2-8389-97FB042F27E9}">
      <dgm:prSet/>
      <dgm:spPr/>
      <dgm:t>
        <a:bodyPr/>
        <a:lstStyle/>
        <a:p>
          <a:endParaRPr lang="ru-RU"/>
        </a:p>
      </dgm:t>
    </dgm:pt>
    <dgm:pt modelId="{2E5F357B-85A3-4630-81AE-50078A61B694}" type="asst">
      <dgm:prSet/>
      <dgm:spPr>
        <a:solidFill>
          <a:srgbClr val="2BE1CB"/>
        </a:solidFill>
      </dgm:spPr>
      <dgm:t>
        <a:bodyPr/>
        <a:lstStyle/>
        <a:p>
          <a:pPr marR="0" algn="ctr" rtl="0"/>
          <a:r>
            <a:rPr lang="ru-RU" b="1" baseline="0" smtClean="0">
              <a:solidFill>
                <a:srgbClr val="2F5496"/>
              </a:solidFill>
              <a:latin typeface="Calibri"/>
            </a:rPr>
            <a:t>Рыбопромышленный комплекс</a:t>
          </a:r>
          <a:endParaRPr lang="ru-RU" b="1" baseline="0" smtClean="0">
            <a:solidFill>
              <a:srgbClr val="2F5496"/>
            </a:solidFill>
            <a:latin typeface="Times New Roman"/>
          </a:endParaRPr>
        </a:p>
        <a:p>
          <a:pPr marR="0" algn="l" rtl="0"/>
          <a:r>
            <a:rPr lang="ru-RU" b="1" i="1" baseline="0" smtClean="0">
              <a:latin typeface="Times New Roman"/>
            </a:rPr>
            <a:t> 5 субъектов;</a:t>
          </a:r>
        </a:p>
        <a:p>
          <a:pPr marR="0" algn="l" rtl="0"/>
          <a:r>
            <a:rPr lang="ru-RU" b="1" i="1" baseline="0" smtClean="0">
              <a:latin typeface="Calibri"/>
            </a:rPr>
            <a:t> сумма 4,6 млн. руб.</a:t>
          </a:r>
          <a:endParaRPr lang="ru-RU" smtClean="0"/>
        </a:p>
      </dgm:t>
    </dgm:pt>
    <dgm:pt modelId="{A15B1BF8-32C8-42D8-BB7D-D9EC6E182EC2}" type="parTrans" cxnId="{1F045CC7-C395-4ED1-9E8F-AB2D7F7C5318}">
      <dgm:prSet/>
      <dgm:spPr/>
      <dgm:t>
        <a:bodyPr/>
        <a:lstStyle/>
        <a:p>
          <a:endParaRPr lang="ru-RU"/>
        </a:p>
      </dgm:t>
    </dgm:pt>
    <dgm:pt modelId="{4739E34A-4301-4DFA-B5B8-A73E7DB6D99D}" type="sibTrans" cxnId="{1F045CC7-C395-4ED1-9E8F-AB2D7F7C5318}">
      <dgm:prSet/>
      <dgm:spPr/>
      <dgm:t>
        <a:bodyPr/>
        <a:lstStyle/>
        <a:p>
          <a:endParaRPr lang="ru-RU"/>
        </a:p>
      </dgm:t>
    </dgm:pt>
    <dgm:pt modelId="{B58964A4-C38B-46DD-8379-284B1049E9B0}" type="asst">
      <dgm:prSet/>
      <dgm:spPr>
        <a:solidFill>
          <a:srgbClr val="2BE1CB"/>
        </a:solidFill>
      </dgm:spPr>
      <dgm:t>
        <a:bodyPr/>
        <a:lstStyle/>
        <a:p>
          <a:pPr marR="0" algn="ctr" rtl="0"/>
          <a:r>
            <a:rPr lang="ru-RU" b="1" u="sng" baseline="0" smtClean="0">
              <a:solidFill>
                <a:srgbClr val="2F5496"/>
              </a:solidFill>
              <a:latin typeface="Calibri"/>
            </a:rPr>
            <a:t>Транспортная деятельность</a:t>
          </a:r>
        </a:p>
        <a:p>
          <a:pPr marR="0" algn="l" rtl="0"/>
          <a:r>
            <a:rPr lang="ru-RU" b="1" i="1" baseline="0" smtClean="0">
              <a:latin typeface="Calibri"/>
            </a:rPr>
            <a:t>  7 субъектов;</a:t>
          </a:r>
        </a:p>
        <a:p>
          <a:pPr marR="0" algn="l" rtl="0"/>
          <a:r>
            <a:rPr lang="ru-RU" b="1" i="1" baseline="0" smtClean="0">
              <a:latin typeface="Calibri"/>
            </a:rPr>
            <a:t>  сумма 1,7 млн.руб.</a:t>
          </a:r>
          <a:endParaRPr lang="ru-RU" smtClean="0"/>
        </a:p>
      </dgm:t>
    </dgm:pt>
    <dgm:pt modelId="{538F1133-2EE6-4101-AF44-2BEA317BF999}" type="parTrans" cxnId="{57049D40-6494-4526-B1AE-62E2F3308874}">
      <dgm:prSet/>
      <dgm:spPr/>
      <dgm:t>
        <a:bodyPr/>
        <a:lstStyle/>
        <a:p>
          <a:endParaRPr lang="ru-RU"/>
        </a:p>
      </dgm:t>
    </dgm:pt>
    <dgm:pt modelId="{A3343176-EE71-4FAA-8544-7DE05A913AFA}" type="sibTrans" cxnId="{57049D40-6494-4526-B1AE-62E2F3308874}">
      <dgm:prSet/>
      <dgm:spPr/>
      <dgm:t>
        <a:bodyPr/>
        <a:lstStyle/>
        <a:p>
          <a:endParaRPr lang="ru-RU"/>
        </a:p>
      </dgm:t>
    </dgm:pt>
    <dgm:pt modelId="{891FF4F5-A1FC-4042-B609-4E8295212F70}">
      <dgm:prSet/>
      <dgm:spPr>
        <a:solidFill>
          <a:srgbClr val="2BE1CB"/>
        </a:solidFill>
      </dgm:spPr>
      <dgm:t>
        <a:bodyPr/>
        <a:lstStyle/>
        <a:p>
          <a:pPr marR="0" algn="ctr" rtl="0"/>
          <a:r>
            <a:rPr lang="ru-RU" b="1" u="sng" baseline="0" smtClean="0">
              <a:solidFill>
                <a:srgbClr val="2F5496"/>
              </a:solidFill>
              <a:latin typeface="Calibri"/>
            </a:rPr>
            <a:t>Сельское хозяйство</a:t>
          </a:r>
        </a:p>
        <a:p>
          <a:pPr marR="0" algn="l" rtl="0"/>
          <a:r>
            <a:rPr lang="ru-RU" b="1" i="1" baseline="0" smtClean="0">
              <a:latin typeface="Calibri"/>
            </a:rPr>
            <a:t> </a:t>
          </a:r>
          <a:endParaRPr lang="ru-RU" b="1" i="1" baseline="0" smtClean="0">
            <a:latin typeface="Times New Roman"/>
          </a:endParaRPr>
        </a:p>
        <a:p>
          <a:pPr marR="0" algn="l" rtl="0"/>
          <a:r>
            <a:rPr lang="ru-RU" b="1" i="1" baseline="0" smtClean="0">
              <a:latin typeface="Calibri"/>
            </a:rPr>
            <a:t> 3 субъекта;</a:t>
          </a:r>
        </a:p>
        <a:p>
          <a:pPr marR="0" algn="l" rtl="0"/>
          <a:r>
            <a:rPr lang="ru-RU" b="1" i="1" baseline="0" smtClean="0">
              <a:latin typeface="Calibri"/>
            </a:rPr>
            <a:t> сумма 0,6 млн.руб.</a:t>
          </a:r>
          <a:endParaRPr lang="ru-RU" smtClean="0"/>
        </a:p>
      </dgm:t>
    </dgm:pt>
    <dgm:pt modelId="{AA933BF7-7E32-40E4-8741-29D7AF89A8E6}" type="parTrans" cxnId="{C1BB2210-BE85-4A7C-A78B-B609F1C713B6}">
      <dgm:prSet/>
      <dgm:spPr/>
      <dgm:t>
        <a:bodyPr/>
        <a:lstStyle/>
        <a:p>
          <a:endParaRPr lang="ru-RU"/>
        </a:p>
      </dgm:t>
    </dgm:pt>
    <dgm:pt modelId="{738C81C5-1FE8-4799-9DA5-5453045261AD}" type="sibTrans" cxnId="{C1BB2210-BE85-4A7C-A78B-B609F1C713B6}">
      <dgm:prSet/>
      <dgm:spPr/>
      <dgm:t>
        <a:bodyPr/>
        <a:lstStyle/>
        <a:p>
          <a:endParaRPr lang="ru-RU"/>
        </a:p>
      </dgm:t>
    </dgm:pt>
    <dgm:pt modelId="{0FDEA862-F9C2-4C14-9F09-FB7A61EA7F82}">
      <dgm:prSet/>
      <dgm:spPr>
        <a:solidFill>
          <a:srgbClr val="2BE1CB"/>
        </a:solidFill>
      </dgm:spPr>
      <dgm:t>
        <a:bodyPr/>
        <a:lstStyle/>
        <a:p>
          <a:pPr marR="0" algn="ctr" rtl="0"/>
          <a:r>
            <a:rPr lang="ru-RU" b="1" u="sng" baseline="0" smtClean="0">
              <a:solidFill>
                <a:srgbClr val="2F5496"/>
              </a:solidFill>
              <a:latin typeface="Calibri"/>
            </a:rPr>
            <a:t>Торговля, бытовые услуги</a:t>
          </a:r>
        </a:p>
        <a:p>
          <a:pPr marR="0" algn="l" rtl="0"/>
          <a:r>
            <a:rPr lang="ru-RU" b="1" i="1" baseline="0" smtClean="0">
              <a:latin typeface="Calibri"/>
            </a:rPr>
            <a:t> 8 субъектов;</a:t>
          </a:r>
        </a:p>
        <a:p>
          <a:pPr marR="0" algn="l" rtl="0"/>
          <a:r>
            <a:rPr lang="ru-RU" b="1" i="1" baseline="0" smtClean="0">
              <a:latin typeface="Calibri"/>
            </a:rPr>
            <a:t> сумма 2,1 млн.руб.</a:t>
          </a:r>
          <a:endParaRPr lang="ru-RU" smtClean="0"/>
        </a:p>
      </dgm:t>
    </dgm:pt>
    <dgm:pt modelId="{818C6979-ACDA-4842-B079-AE360794B44D}" type="parTrans" cxnId="{E0225761-3C38-45C5-B7E1-21AD3B6E47B3}">
      <dgm:prSet/>
      <dgm:spPr/>
      <dgm:t>
        <a:bodyPr/>
        <a:lstStyle/>
        <a:p>
          <a:endParaRPr lang="ru-RU"/>
        </a:p>
      </dgm:t>
    </dgm:pt>
    <dgm:pt modelId="{4978C40A-3EAE-42FB-8A17-43C0EC68CD37}" type="sibTrans" cxnId="{E0225761-3C38-45C5-B7E1-21AD3B6E47B3}">
      <dgm:prSet/>
      <dgm:spPr/>
      <dgm:t>
        <a:bodyPr/>
        <a:lstStyle/>
        <a:p>
          <a:endParaRPr lang="ru-RU"/>
        </a:p>
      </dgm:t>
    </dgm:pt>
    <dgm:pt modelId="{219EFDB2-8DA9-4386-BA4B-500576173A91}">
      <dgm:prSet/>
      <dgm:spPr>
        <a:solidFill>
          <a:srgbClr val="2BE1CB"/>
        </a:solidFill>
      </dgm:spPr>
      <dgm:t>
        <a:bodyPr/>
        <a:lstStyle/>
        <a:p>
          <a:pPr marR="0" algn="ctr" rtl="0"/>
          <a:r>
            <a:rPr lang="ru-RU" b="1" u="sng" baseline="0" smtClean="0">
              <a:solidFill>
                <a:srgbClr val="2F5496"/>
              </a:solidFill>
              <a:latin typeface="Calibri"/>
            </a:rPr>
            <a:t>Прочие</a:t>
          </a:r>
        </a:p>
        <a:p>
          <a:pPr marR="0" algn="ctr" rtl="0"/>
          <a:endParaRPr lang="ru-RU" b="1" baseline="0" smtClean="0">
            <a:solidFill>
              <a:srgbClr val="2F5496"/>
            </a:solidFill>
            <a:latin typeface="Times New Roman"/>
          </a:endParaRPr>
        </a:p>
        <a:p>
          <a:pPr marR="0" algn="l" rtl="0"/>
          <a:r>
            <a:rPr lang="ru-RU" baseline="0" smtClean="0">
              <a:latin typeface="Calibri"/>
            </a:rPr>
            <a:t> </a:t>
          </a:r>
          <a:r>
            <a:rPr lang="ru-RU" b="1" i="1" baseline="0" smtClean="0">
              <a:latin typeface="Calibri"/>
            </a:rPr>
            <a:t>4 субъекта;</a:t>
          </a:r>
        </a:p>
        <a:p>
          <a:pPr marR="0" algn="l" rtl="0"/>
          <a:r>
            <a:rPr lang="ru-RU" b="1" i="1" baseline="0" smtClean="0">
              <a:latin typeface="Calibri"/>
            </a:rPr>
            <a:t> сумма 1,2 млн.руб.</a:t>
          </a:r>
          <a:endParaRPr lang="ru-RU" smtClean="0"/>
        </a:p>
      </dgm:t>
    </dgm:pt>
    <dgm:pt modelId="{C6C3586D-5233-40F1-BAE2-42772DEAC896}" type="parTrans" cxnId="{D7B8DC87-DE6A-4CC1-A5A0-C043571934BA}">
      <dgm:prSet/>
      <dgm:spPr/>
      <dgm:t>
        <a:bodyPr/>
        <a:lstStyle/>
        <a:p>
          <a:endParaRPr lang="ru-RU"/>
        </a:p>
      </dgm:t>
    </dgm:pt>
    <dgm:pt modelId="{91254897-C89B-480B-8EE3-F620EE4250BE}" type="sibTrans" cxnId="{D7B8DC87-DE6A-4CC1-A5A0-C043571934BA}">
      <dgm:prSet/>
      <dgm:spPr/>
      <dgm:t>
        <a:bodyPr/>
        <a:lstStyle/>
        <a:p>
          <a:endParaRPr lang="ru-RU"/>
        </a:p>
      </dgm:t>
    </dgm:pt>
    <dgm:pt modelId="{B5BC02D9-BD19-4FCA-9346-6D1608875E84}" type="pres">
      <dgm:prSet presAssocID="{8237A803-7B38-459F-A481-87AA01757E31}" presName="hierChild1" presStyleCnt="0">
        <dgm:presLayoutVars>
          <dgm:orgChart val="1"/>
          <dgm:chPref val="1"/>
          <dgm:dir/>
          <dgm:animOne val="branch"/>
          <dgm:animLvl val="lvl"/>
          <dgm:resizeHandles/>
        </dgm:presLayoutVars>
      </dgm:prSet>
      <dgm:spPr/>
    </dgm:pt>
    <dgm:pt modelId="{E88D3361-EDEB-47C6-A1F0-DAA9D947BDDB}" type="pres">
      <dgm:prSet presAssocID="{EC1FEF59-D801-4F97-95E3-DE0D999B6AC1}" presName="hierRoot1" presStyleCnt="0">
        <dgm:presLayoutVars>
          <dgm:hierBranch/>
        </dgm:presLayoutVars>
      </dgm:prSet>
      <dgm:spPr/>
    </dgm:pt>
    <dgm:pt modelId="{66D0C8DE-146C-42B3-9E58-E8CD78678A54}" type="pres">
      <dgm:prSet presAssocID="{EC1FEF59-D801-4F97-95E3-DE0D999B6AC1}" presName="rootComposite1" presStyleCnt="0"/>
      <dgm:spPr/>
    </dgm:pt>
    <dgm:pt modelId="{7A97284E-5B6C-4B37-A7DB-2268B8FB3E2E}" type="pres">
      <dgm:prSet presAssocID="{EC1FEF59-D801-4F97-95E3-DE0D999B6AC1}" presName="rootText1" presStyleLbl="node0" presStyleIdx="0" presStyleCnt="1">
        <dgm:presLayoutVars>
          <dgm:chPref val="3"/>
        </dgm:presLayoutVars>
      </dgm:prSet>
      <dgm:spPr/>
      <dgm:t>
        <a:bodyPr/>
        <a:lstStyle/>
        <a:p>
          <a:endParaRPr lang="ru-RU"/>
        </a:p>
      </dgm:t>
    </dgm:pt>
    <dgm:pt modelId="{EA844AC9-D93D-4103-87BE-15A4BE55E440}" type="pres">
      <dgm:prSet presAssocID="{EC1FEF59-D801-4F97-95E3-DE0D999B6AC1}" presName="rootConnector1" presStyleLbl="node1" presStyleIdx="0" presStyleCnt="0"/>
      <dgm:spPr/>
      <dgm:t>
        <a:bodyPr/>
        <a:lstStyle/>
        <a:p>
          <a:endParaRPr lang="ru-RU"/>
        </a:p>
      </dgm:t>
    </dgm:pt>
    <dgm:pt modelId="{6DA41455-34C1-414A-925F-D0DB0DF85B10}" type="pres">
      <dgm:prSet presAssocID="{EC1FEF59-D801-4F97-95E3-DE0D999B6AC1}" presName="hierChild2" presStyleCnt="0"/>
      <dgm:spPr/>
    </dgm:pt>
    <dgm:pt modelId="{022F4C1A-D279-43C9-9BD6-0D86CBA3DD1C}" type="pres">
      <dgm:prSet presAssocID="{AA933BF7-7E32-40E4-8741-29D7AF89A8E6}" presName="Name35" presStyleLbl="parChTrans1D2" presStyleIdx="0" presStyleCnt="5"/>
      <dgm:spPr/>
      <dgm:t>
        <a:bodyPr/>
        <a:lstStyle/>
        <a:p>
          <a:endParaRPr lang="ru-RU"/>
        </a:p>
      </dgm:t>
    </dgm:pt>
    <dgm:pt modelId="{31055438-012A-4E75-A2C5-6CAB8004D286}" type="pres">
      <dgm:prSet presAssocID="{891FF4F5-A1FC-4042-B609-4E8295212F70}" presName="hierRoot2" presStyleCnt="0">
        <dgm:presLayoutVars>
          <dgm:hierBranch/>
        </dgm:presLayoutVars>
      </dgm:prSet>
      <dgm:spPr/>
    </dgm:pt>
    <dgm:pt modelId="{A3ACCA05-8072-4106-A3CD-D14B025DCE2A}" type="pres">
      <dgm:prSet presAssocID="{891FF4F5-A1FC-4042-B609-4E8295212F70}" presName="rootComposite" presStyleCnt="0"/>
      <dgm:spPr/>
    </dgm:pt>
    <dgm:pt modelId="{13593799-BBCC-4238-A82B-FDB46A505122}" type="pres">
      <dgm:prSet presAssocID="{891FF4F5-A1FC-4042-B609-4E8295212F70}" presName="rootText" presStyleLbl="node2" presStyleIdx="0" presStyleCnt="3">
        <dgm:presLayoutVars>
          <dgm:chPref val="3"/>
        </dgm:presLayoutVars>
      </dgm:prSet>
      <dgm:spPr/>
      <dgm:t>
        <a:bodyPr/>
        <a:lstStyle/>
        <a:p>
          <a:endParaRPr lang="ru-RU"/>
        </a:p>
      </dgm:t>
    </dgm:pt>
    <dgm:pt modelId="{8A28F34D-9C32-4749-94CE-D46E17155331}" type="pres">
      <dgm:prSet presAssocID="{891FF4F5-A1FC-4042-B609-4E8295212F70}" presName="rootConnector" presStyleLbl="node2" presStyleIdx="0" presStyleCnt="3"/>
      <dgm:spPr/>
      <dgm:t>
        <a:bodyPr/>
        <a:lstStyle/>
        <a:p>
          <a:endParaRPr lang="ru-RU"/>
        </a:p>
      </dgm:t>
    </dgm:pt>
    <dgm:pt modelId="{3E58F6E0-48C5-4AC2-8435-5FC98CD02A80}" type="pres">
      <dgm:prSet presAssocID="{891FF4F5-A1FC-4042-B609-4E8295212F70}" presName="hierChild4" presStyleCnt="0"/>
      <dgm:spPr/>
    </dgm:pt>
    <dgm:pt modelId="{6A01F591-414B-4FD0-AE90-D35CA7E45B80}" type="pres">
      <dgm:prSet presAssocID="{891FF4F5-A1FC-4042-B609-4E8295212F70}" presName="hierChild5" presStyleCnt="0"/>
      <dgm:spPr/>
    </dgm:pt>
    <dgm:pt modelId="{2C20F41F-1075-400E-B719-614247EEF361}" type="pres">
      <dgm:prSet presAssocID="{818C6979-ACDA-4842-B079-AE360794B44D}" presName="Name35" presStyleLbl="parChTrans1D2" presStyleIdx="1" presStyleCnt="5"/>
      <dgm:spPr/>
      <dgm:t>
        <a:bodyPr/>
        <a:lstStyle/>
        <a:p>
          <a:endParaRPr lang="ru-RU"/>
        </a:p>
      </dgm:t>
    </dgm:pt>
    <dgm:pt modelId="{8E95A61F-50F1-434F-A239-C5D55E4A30B3}" type="pres">
      <dgm:prSet presAssocID="{0FDEA862-F9C2-4C14-9F09-FB7A61EA7F82}" presName="hierRoot2" presStyleCnt="0">
        <dgm:presLayoutVars>
          <dgm:hierBranch/>
        </dgm:presLayoutVars>
      </dgm:prSet>
      <dgm:spPr/>
    </dgm:pt>
    <dgm:pt modelId="{B4617458-9CF5-4FC8-939E-915AF2E76554}" type="pres">
      <dgm:prSet presAssocID="{0FDEA862-F9C2-4C14-9F09-FB7A61EA7F82}" presName="rootComposite" presStyleCnt="0"/>
      <dgm:spPr/>
    </dgm:pt>
    <dgm:pt modelId="{C0AD47E4-8D8E-4884-B2A7-338F23456C51}" type="pres">
      <dgm:prSet presAssocID="{0FDEA862-F9C2-4C14-9F09-FB7A61EA7F82}" presName="rootText" presStyleLbl="node2" presStyleIdx="1" presStyleCnt="3">
        <dgm:presLayoutVars>
          <dgm:chPref val="3"/>
        </dgm:presLayoutVars>
      </dgm:prSet>
      <dgm:spPr/>
      <dgm:t>
        <a:bodyPr/>
        <a:lstStyle/>
        <a:p>
          <a:endParaRPr lang="ru-RU"/>
        </a:p>
      </dgm:t>
    </dgm:pt>
    <dgm:pt modelId="{619EFD7F-478C-40E8-9227-FFC40FE9A778}" type="pres">
      <dgm:prSet presAssocID="{0FDEA862-F9C2-4C14-9F09-FB7A61EA7F82}" presName="rootConnector" presStyleLbl="node2" presStyleIdx="1" presStyleCnt="3"/>
      <dgm:spPr/>
      <dgm:t>
        <a:bodyPr/>
        <a:lstStyle/>
        <a:p>
          <a:endParaRPr lang="ru-RU"/>
        </a:p>
      </dgm:t>
    </dgm:pt>
    <dgm:pt modelId="{5EB84F34-1D29-499D-A1EF-242F63960333}" type="pres">
      <dgm:prSet presAssocID="{0FDEA862-F9C2-4C14-9F09-FB7A61EA7F82}" presName="hierChild4" presStyleCnt="0"/>
      <dgm:spPr/>
    </dgm:pt>
    <dgm:pt modelId="{BC6953E2-0065-46C3-8CA7-1FAD4A5DF2EE}" type="pres">
      <dgm:prSet presAssocID="{0FDEA862-F9C2-4C14-9F09-FB7A61EA7F82}" presName="hierChild5" presStyleCnt="0"/>
      <dgm:spPr/>
    </dgm:pt>
    <dgm:pt modelId="{1CA28726-CE00-4A7F-8D23-F3A9C2A13704}" type="pres">
      <dgm:prSet presAssocID="{C6C3586D-5233-40F1-BAE2-42772DEAC896}" presName="Name35" presStyleLbl="parChTrans1D2" presStyleIdx="2" presStyleCnt="5"/>
      <dgm:spPr/>
      <dgm:t>
        <a:bodyPr/>
        <a:lstStyle/>
        <a:p>
          <a:endParaRPr lang="ru-RU"/>
        </a:p>
      </dgm:t>
    </dgm:pt>
    <dgm:pt modelId="{ED1CABFA-6BD0-4C87-A8B3-4C1A4533FCA9}" type="pres">
      <dgm:prSet presAssocID="{219EFDB2-8DA9-4386-BA4B-500576173A91}" presName="hierRoot2" presStyleCnt="0">
        <dgm:presLayoutVars>
          <dgm:hierBranch/>
        </dgm:presLayoutVars>
      </dgm:prSet>
      <dgm:spPr/>
    </dgm:pt>
    <dgm:pt modelId="{6AB20EA7-3A6A-45A0-A0E5-AAD72F0C6B0D}" type="pres">
      <dgm:prSet presAssocID="{219EFDB2-8DA9-4386-BA4B-500576173A91}" presName="rootComposite" presStyleCnt="0"/>
      <dgm:spPr/>
    </dgm:pt>
    <dgm:pt modelId="{73FAD76A-7CD5-450B-8E86-83B049F8495A}" type="pres">
      <dgm:prSet presAssocID="{219EFDB2-8DA9-4386-BA4B-500576173A91}" presName="rootText" presStyleLbl="node2" presStyleIdx="2" presStyleCnt="3">
        <dgm:presLayoutVars>
          <dgm:chPref val="3"/>
        </dgm:presLayoutVars>
      </dgm:prSet>
      <dgm:spPr/>
      <dgm:t>
        <a:bodyPr/>
        <a:lstStyle/>
        <a:p>
          <a:endParaRPr lang="ru-RU"/>
        </a:p>
      </dgm:t>
    </dgm:pt>
    <dgm:pt modelId="{DA3FA785-11DA-48F4-ABF4-5203B60F9D24}" type="pres">
      <dgm:prSet presAssocID="{219EFDB2-8DA9-4386-BA4B-500576173A91}" presName="rootConnector" presStyleLbl="node2" presStyleIdx="2" presStyleCnt="3"/>
      <dgm:spPr/>
      <dgm:t>
        <a:bodyPr/>
        <a:lstStyle/>
        <a:p>
          <a:endParaRPr lang="ru-RU"/>
        </a:p>
      </dgm:t>
    </dgm:pt>
    <dgm:pt modelId="{F7A040CB-1265-44C2-9C89-AE5F140A7883}" type="pres">
      <dgm:prSet presAssocID="{219EFDB2-8DA9-4386-BA4B-500576173A91}" presName="hierChild4" presStyleCnt="0"/>
      <dgm:spPr/>
    </dgm:pt>
    <dgm:pt modelId="{5DA3D751-59C2-47CC-B327-06BFF9A04AAC}" type="pres">
      <dgm:prSet presAssocID="{219EFDB2-8DA9-4386-BA4B-500576173A91}" presName="hierChild5" presStyleCnt="0"/>
      <dgm:spPr/>
    </dgm:pt>
    <dgm:pt modelId="{1D818386-4F3B-49A0-A124-03FC0DF0E87B}" type="pres">
      <dgm:prSet presAssocID="{EC1FEF59-D801-4F97-95E3-DE0D999B6AC1}" presName="hierChild3" presStyleCnt="0"/>
      <dgm:spPr/>
    </dgm:pt>
    <dgm:pt modelId="{DC5EE428-977C-47E6-851C-970877DAF13A}" type="pres">
      <dgm:prSet presAssocID="{A15B1BF8-32C8-42D8-BB7D-D9EC6E182EC2}" presName="Name111" presStyleLbl="parChTrans1D2" presStyleIdx="3" presStyleCnt="5"/>
      <dgm:spPr/>
      <dgm:t>
        <a:bodyPr/>
        <a:lstStyle/>
        <a:p>
          <a:endParaRPr lang="ru-RU"/>
        </a:p>
      </dgm:t>
    </dgm:pt>
    <dgm:pt modelId="{41A23CEB-0F9A-43D0-BE42-7A88EA6B79DC}" type="pres">
      <dgm:prSet presAssocID="{2E5F357B-85A3-4630-81AE-50078A61B694}" presName="hierRoot3" presStyleCnt="0">
        <dgm:presLayoutVars>
          <dgm:hierBranch/>
        </dgm:presLayoutVars>
      </dgm:prSet>
      <dgm:spPr/>
    </dgm:pt>
    <dgm:pt modelId="{507DF771-E323-418F-BB48-3881068B9D57}" type="pres">
      <dgm:prSet presAssocID="{2E5F357B-85A3-4630-81AE-50078A61B694}" presName="rootComposite3" presStyleCnt="0"/>
      <dgm:spPr/>
    </dgm:pt>
    <dgm:pt modelId="{144753C2-929E-4E6C-9EE7-7AE5F42CDBF3}" type="pres">
      <dgm:prSet presAssocID="{2E5F357B-85A3-4630-81AE-50078A61B694}" presName="rootText3" presStyleLbl="asst1" presStyleIdx="0" presStyleCnt="2">
        <dgm:presLayoutVars>
          <dgm:chPref val="3"/>
        </dgm:presLayoutVars>
      </dgm:prSet>
      <dgm:spPr/>
      <dgm:t>
        <a:bodyPr/>
        <a:lstStyle/>
        <a:p>
          <a:endParaRPr lang="ru-RU"/>
        </a:p>
      </dgm:t>
    </dgm:pt>
    <dgm:pt modelId="{C9248083-C868-429B-AB36-1086C3E36C14}" type="pres">
      <dgm:prSet presAssocID="{2E5F357B-85A3-4630-81AE-50078A61B694}" presName="rootConnector3" presStyleLbl="asst1" presStyleIdx="0" presStyleCnt="2"/>
      <dgm:spPr/>
      <dgm:t>
        <a:bodyPr/>
        <a:lstStyle/>
        <a:p>
          <a:endParaRPr lang="ru-RU"/>
        </a:p>
      </dgm:t>
    </dgm:pt>
    <dgm:pt modelId="{B0AC7F20-2A99-4675-8B4C-6641A999E603}" type="pres">
      <dgm:prSet presAssocID="{2E5F357B-85A3-4630-81AE-50078A61B694}" presName="hierChild6" presStyleCnt="0"/>
      <dgm:spPr/>
    </dgm:pt>
    <dgm:pt modelId="{5EB3A78E-73B4-4E86-95EA-ABC84B0FAE91}" type="pres">
      <dgm:prSet presAssocID="{2E5F357B-85A3-4630-81AE-50078A61B694}" presName="hierChild7" presStyleCnt="0"/>
      <dgm:spPr/>
    </dgm:pt>
    <dgm:pt modelId="{61BBB8B6-5553-4F72-99E7-8CAE6C00F36F}" type="pres">
      <dgm:prSet presAssocID="{538F1133-2EE6-4101-AF44-2BEA317BF999}" presName="Name111" presStyleLbl="parChTrans1D2" presStyleIdx="4" presStyleCnt="5"/>
      <dgm:spPr/>
      <dgm:t>
        <a:bodyPr/>
        <a:lstStyle/>
        <a:p>
          <a:endParaRPr lang="ru-RU"/>
        </a:p>
      </dgm:t>
    </dgm:pt>
    <dgm:pt modelId="{E34C5018-20A5-40DB-981B-E64E66683931}" type="pres">
      <dgm:prSet presAssocID="{B58964A4-C38B-46DD-8379-284B1049E9B0}" presName="hierRoot3" presStyleCnt="0">
        <dgm:presLayoutVars>
          <dgm:hierBranch/>
        </dgm:presLayoutVars>
      </dgm:prSet>
      <dgm:spPr/>
    </dgm:pt>
    <dgm:pt modelId="{726682A5-0653-4582-9EC2-735B0F3B1D25}" type="pres">
      <dgm:prSet presAssocID="{B58964A4-C38B-46DD-8379-284B1049E9B0}" presName="rootComposite3" presStyleCnt="0"/>
      <dgm:spPr/>
    </dgm:pt>
    <dgm:pt modelId="{1E1F691B-A0A9-4529-9466-3BBF86C4ECE3}" type="pres">
      <dgm:prSet presAssocID="{B58964A4-C38B-46DD-8379-284B1049E9B0}" presName="rootText3" presStyleLbl="asst1" presStyleIdx="1" presStyleCnt="2">
        <dgm:presLayoutVars>
          <dgm:chPref val="3"/>
        </dgm:presLayoutVars>
      </dgm:prSet>
      <dgm:spPr/>
      <dgm:t>
        <a:bodyPr/>
        <a:lstStyle/>
        <a:p>
          <a:endParaRPr lang="ru-RU"/>
        </a:p>
      </dgm:t>
    </dgm:pt>
    <dgm:pt modelId="{1395C939-019D-461C-948B-37E0F966B1E2}" type="pres">
      <dgm:prSet presAssocID="{B58964A4-C38B-46DD-8379-284B1049E9B0}" presName="rootConnector3" presStyleLbl="asst1" presStyleIdx="1" presStyleCnt="2"/>
      <dgm:spPr/>
      <dgm:t>
        <a:bodyPr/>
        <a:lstStyle/>
        <a:p>
          <a:endParaRPr lang="ru-RU"/>
        </a:p>
      </dgm:t>
    </dgm:pt>
    <dgm:pt modelId="{5A26E600-2732-4B2C-BF9D-C04E3C197F1A}" type="pres">
      <dgm:prSet presAssocID="{B58964A4-C38B-46DD-8379-284B1049E9B0}" presName="hierChild6" presStyleCnt="0"/>
      <dgm:spPr/>
    </dgm:pt>
    <dgm:pt modelId="{4ADEC389-29DA-4B88-8642-97DD8AB75472}" type="pres">
      <dgm:prSet presAssocID="{B58964A4-C38B-46DD-8379-284B1049E9B0}" presName="hierChild7" presStyleCnt="0"/>
      <dgm:spPr/>
    </dgm:pt>
  </dgm:ptLst>
  <dgm:cxnLst>
    <dgm:cxn modelId="{9B827516-ACA5-46D6-AC73-35A4B0F8930A}" type="presOf" srcId="{2E5F357B-85A3-4630-81AE-50078A61B694}" destId="{C9248083-C868-429B-AB36-1086C3E36C14}" srcOrd="1" destOrd="0" presId="urn:microsoft.com/office/officeart/2005/8/layout/orgChart1"/>
    <dgm:cxn modelId="{A3F425A4-185A-4472-B1A5-F0D3786C73C6}" type="presOf" srcId="{B58964A4-C38B-46DD-8379-284B1049E9B0}" destId="{1395C939-019D-461C-948B-37E0F966B1E2}" srcOrd="1" destOrd="0" presId="urn:microsoft.com/office/officeart/2005/8/layout/orgChart1"/>
    <dgm:cxn modelId="{743F1F23-7E87-4CD4-842D-C59FA1C9D9E3}" type="presOf" srcId="{219EFDB2-8DA9-4386-BA4B-500576173A91}" destId="{73FAD76A-7CD5-450B-8E86-83B049F8495A}" srcOrd="0" destOrd="0" presId="urn:microsoft.com/office/officeart/2005/8/layout/orgChart1"/>
    <dgm:cxn modelId="{5FAD6251-D341-4E75-B10B-B92775AD6DD3}" type="presOf" srcId="{0FDEA862-F9C2-4C14-9F09-FB7A61EA7F82}" destId="{C0AD47E4-8D8E-4884-B2A7-338F23456C51}" srcOrd="0" destOrd="0" presId="urn:microsoft.com/office/officeart/2005/8/layout/orgChart1"/>
    <dgm:cxn modelId="{6389D8E2-7D92-4EF2-8389-97FB042F27E9}" srcId="{8237A803-7B38-459F-A481-87AA01757E31}" destId="{EC1FEF59-D801-4F97-95E3-DE0D999B6AC1}" srcOrd="0" destOrd="0" parTransId="{19E1FCA9-0652-4706-A082-43BA2ADF6BD5}" sibTransId="{7863A2B1-303B-4B45-9B74-DCB3C9A61C57}"/>
    <dgm:cxn modelId="{3BFAE604-90AC-465C-9181-192C677DF542}" type="presOf" srcId="{EC1FEF59-D801-4F97-95E3-DE0D999B6AC1}" destId="{7A97284E-5B6C-4B37-A7DB-2268B8FB3E2E}" srcOrd="0" destOrd="0" presId="urn:microsoft.com/office/officeart/2005/8/layout/orgChart1"/>
    <dgm:cxn modelId="{D7B8DC87-DE6A-4CC1-A5A0-C043571934BA}" srcId="{EC1FEF59-D801-4F97-95E3-DE0D999B6AC1}" destId="{219EFDB2-8DA9-4386-BA4B-500576173A91}" srcOrd="4" destOrd="0" parTransId="{C6C3586D-5233-40F1-BAE2-42772DEAC896}" sibTransId="{91254897-C89B-480B-8EE3-F620EE4250BE}"/>
    <dgm:cxn modelId="{57049D40-6494-4526-B1AE-62E2F3308874}" srcId="{EC1FEF59-D801-4F97-95E3-DE0D999B6AC1}" destId="{B58964A4-C38B-46DD-8379-284B1049E9B0}" srcOrd="1" destOrd="0" parTransId="{538F1133-2EE6-4101-AF44-2BEA317BF999}" sibTransId="{A3343176-EE71-4FAA-8544-7DE05A913AFA}"/>
    <dgm:cxn modelId="{1F045CC7-C395-4ED1-9E8F-AB2D7F7C5318}" srcId="{EC1FEF59-D801-4F97-95E3-DE0D999B6AC1}" destId="{2E5F357B-85A3-4630-81AE-50078A61B694}" srcOrd="0" destOrd="0" parTransId="{A15B1BF8-32C8-42D8-BB7D-D9EC6E182EC2}" sibTransId="{4739E34A-4301-4DFA-B5B8-A73E7DB6D99D}"/>
    <dgm:cxn modelId="{1DC48950-37D7-4635-B012-8551358C152E}" type="presOf" srcId="{0FDEA862-F9C2-4C14-9F09-FB7A61EA7F82}" destId="{619EFD7F-478C-40E8-9227-FFC40FE9A778}" srcOrd="1" destOrd="0" presId="urn:microsoft.com/office/officeart/2005/8/layout/orgChart1"/>
    <dgm:cxn modelId="{5964FA11-154F-4A30-85B9-8E5A548C5A33}" type="presOf" srcId="{C6C3586D-5233-40F1-BAE2-42772DEAC896}" destId="{1CA28726-CE00-4A7F-8D23-F3A9C2A13704}" srcOrd="0" destOrd="0" presId="urn:microsoft.com/office/officeart/2005/8/layout/orgChart1"/>
    <dgm:cxn modelId="{A29C8A13-F222-4516-831D-3DA69EA6D86C}" type="presOf" srcId="{A15B1BF8-32C8-42D8-BB7D-D9EC6E182EC2}" destId="{DC5EE428-977C-47E6-851C-970877DAF13A}" srcOrd="0" destOrd="0" presId="urn:microsoft.com/office/officeart/2005/8/layout/orgChart1"/>
    <dgm:cxn modelId="{00AA5743-7EBE-4D62-9289-C873CB6B5951}" type="presOf" srcId="{EC1FEF59-D801-4F97-95E3-DE0D999B6AC1}" destId="{EA844AC9-D93D-4103-87BE-15A4BE55E440}" srcOrd="1" destOrd="0" presId="urn:microsoft.com/office/officeart/2005/8/layout/orgChart1"/>
    <dgm:cxn modelId="{57117E06-F39B-4B12-8D32-14095C02E780}" type="presOf" srcId="{891FF4F5-A1FC-4042-B609-4E8295212F70}" destId="{8A28F34D-9C32-4749-94CE-D46E17155331}" srcOrd="1" destOrd="0" presId="urn:microsoft.com/office/officeart/2005/8/layout/orgChart1"/>
    <dgm:cxn modelId="{438830C8-9D86-4776-8282-BE615F929DB4}" type="presOf" srcId="{219EFDB2-8DA9-4386-BA4B-500576173A91}" destId="{DA3FA785-11DA-48F4-ABF4-5203B60F9D24}" srcOrd="1" destOrd="0" presId="urn:microsoft.com/office/officeart/2005/8/layout/orgChart1"/>
    <dgm:cxn modelId="{C1BB2210-BE85-4A7C-A78B-B609F1C713B6}" srcId="{EC1FEF59-D801-4F97-95E3-DE0D999B6AC1}" destId="{891FF4F5-A1FC-4042-B609-4E8295212F70}" srcOrd="2" destOrd="0" parTransId="{AA933BF7-7E32-40E4-8741-29D7AF89A8E6}" sibTransId="{738C81C5-1FE8-4799-9DA5-5453045261AD}"/>
    <dgm:cxn modelId="{02F34552-75AA-4A3F-9E78-72C8BED7FB4B}" type="presOf" srcId="{891FF4F5-A1FC-4042-B609-4E8295212F70}" destId="{13593799-BBCC-4238-A82B-FDB46A505122}" srcOrd="0" destOrd="0" presId="urn:microsoft.com/office/officeart/2005/8/layout/orgChart1"/>
    <dgm:cxn modelId="{5526005A-994C-4240-8D8A-81D7DFC843AF}" type="presOf" srcId="{8237A803-7B38-459F-A481-87AA01757E31}" destId="{B5BC02D9-BD19-4FCA-9346-6D1608875E84}" srcOrd="0" destOrd="0" presId="urn:microsoft.com/office/officeart/2005/8/layout/orgChart1"/>
    <dgm:cxn modelId="{4212951B-D717-4AE6-B9E7-ED2702186742}" type="presOf" srcId="{538F1133-2EE6-4101-AF44-2BEA317BF999}" destId="{61BBB8B6-5553-4F72-99E7-8CAE6C00F36F}" srcOrd="0" destOrd="0" presId="urn:microsoft.com/office/officeart/2005/8/layout/orgChart1"/>
    <dgm:cxn modelId="{C5444393-F8FA-4832-A3A4-0A2804E40D45}" type="presOf" srcId="{B58964A4-C38B-46DD-8379-284B1049E9B0}" destId="{1E1F691B-A0A9-4529-9466-3BBF86C4ECE3}" srcOrd="0" destOrd="0" presId="urn:microsoft.com/office/officeart/2005/8/layout/orgChart1"/>
    <dgm:cxn modelId="{E0225761-3C38-45C5-B7E1-21AD3B6E47B3}" srcId="{EC1FEF59-D801-4F97-95E3-DE0D999B6AC1}" destId="{0FDEA862-F9C2-4C14-9F09-FB7A61EA7F82}" srcOrd="3" destOrd="0" parTransId="{818C6979-ACDA-4842-B079-AE360794B44D}" sibTransId="{4978C40A-3EAE-42FB-8A17-43C0EC68CD37}"/>
    <dgm:cxn modelId="{66AA8FDB-C63A-4C51-8FF3-BCBFC08D7D94}" type="presOf" srcId="{818C6979-ACDA-4842-B079-AE360794B44D}" destId="{2C20F41F-1075-400E-B719-614247EEF361}" srcOrd="0" destOrd="0" presId="urn:microsoft.com/office/officeart/2005/8/layout/orgChart1"/>
    <dgm:cxn modelId="{8405C9F7-68A7-4D80-BE73-468084354326}" type="presOf" srcId="{2E5F357B-85A3-4630-81AE-50078A61B694}" destId="{144753C2-929E-4E6C-9EE7-7AE5F42CDBF3}" srcOrd="0" destOrd="0" presId="urn:microsoft.com/office/officeart/2005/8/layout/orgChart1"/>
    <dgm:cxn modelId="{7642F9BB-FE98-4A91-B21C-73F9ED22DCD3}" type="presOf" srcId="{AA933BF7-7E32-40E4-8741-29D7AF89A8E6}" destId="{022F4C1A-D279-43C9-9BD6-0D86CBA3DD1C}" srcOrd="0" destOrd="0" presId="urn:microsoft.com/office/officeart/2005/8/layout/orgChart1"/>
    <dgm:cxn modelId="{95B9C5D1-8ED8-4557-8C41-D55D2E79262B}" type="presParOf" srcId="{B5BC02D9-BD19-4FCA-9346-6D1608875E84}" destId="{E88D3361-EDEB-47C6-A1F0-DAA9D947BDDB}" srcOrd="0" destOrd="0" presId="urn:microsoft.com/office/officeart/2005/8/layout/orgChart1"/>
    <dgm:cxn modelId="{FCCC1B28-790B-4223-8F23-CC2342CE9600}" type="presParOf" srcId="{E88D3361-EDEB-47C6-A1F0-DAA9D947BDDB}" destId="{66D0C8DE-146C-42B3-9E58-E8CD78678A54}" srcOrd="0" destOrd="0" presId="urn:microsoft.com/office/officeart/2005/8/layout/orgChart1"/>
    <dgm:cxn modelId="{18198923-F3A5-47E8-8A47-0E70844C430C}" type="presParOf" srcId="{66D0C8DE-146C-42B3-9E58-E8CD78678A54}" destId="{7A97284E-5B6C-4B37-A7DB-2268B8FB3E2E}" srcOrd="0" destOrd="0" presId="urn:microsoft.com/office/officeart/2005/8/layout/orgChart1"/>
    <dgm:cxn modelId="{5CBE6A97-4FDA-46AB-87EB-0F4A0900366F}" type="presParOf" srcId="{66D0C8DE-146C-42B3-9E58-E8CD78678A54}" destId="{EA844AC9-D93D-4103-87BE-15A4BE55E440}" srcOrd="1" destOrd="0" presId="urn:microsoft.com/office/officeart/2005/8/layout/orgChart1"/>
    <dgm:cxn modelId="{4F67FB5A-2C03-4508-B11F-004E87B19351}" type="presParOf" srcId="{E88D3361-EDEB-47C6-A1F0-DAA9D947BDDB}" destId="{6DA41455-34C1-414A-925F-D0DB0DF85B10}" srcOrd="1" destOrd="0" presId="urn:microsoft.com/office/officeart/2005/8/layout/orgChart1"/>
    <dgm:cxn modelId="{20DDAB4C-E741-41DB-B164-339FE1A78EEF}" type="presParOf" srcId="{6DA41455-34C1-414A-925F-D0DB0DF85B10}" destId="{022F4C1A-D279-43C9-9BD6-0D86CBA3DD1C}" srcOrd="0" destOrd="0" presId="urn:microsoft.com/office/officeart/2005/8/layout/orgChart1"/>
    <dgm:cxn modelId="{AD2F4DF1-E2ED-4CAD-A8DC-476197019602}" type="presParOf" srcId="{6DA41455-34C1-414A-925F-D0DB0DF85B10}" destId="{31055438-012A-4E75-A2C5-6CAB8004D286}" srcOrd="1" destOrd="0" presId="urn:microsoft.com/office/officeart/2005/8/layout/orgChart1"/>
    <dgm:cxn modelId="{CBCED4B8-1635-4F1C-B9FB-B1FBA5F57DA6}" type="presParOf" srcId="{31055438-012A-4E75-A2C5-6CAB8004D286}" destId="{A3ACCA05-8072-4106-A3CD-D14B025DCE2A}" srcOrd="0" destOrd="0" presId="urn:microsoft.com/office/officeart/2005/8/layout/orgChart1"/>
    <dgm:cxn modelId="{B88FA30A-0E63-45EA-8960-4BF1A42503BC}" type="presParOf" srcId="{A3ACCA05-8072-4106-A3CD-D14B025DCE2A}" destId="{13593799-BBCC-4238-A82B-FDB46A505122}" srcOrd="0" destOrd="0" presId="urn:microsoft.com/office/officeart/2005/8/layout/orgChart1"/>
    <dgm:cxn modelId="{C0BD367B-DE5D-422B-A5B8-6B140B988908}" type="presParOf" srcId="{A3ACCA05-8072-4106-A3CD-D14B025DCE2A}" destId="{8A28F34D-9C32-4749-94CE-D46E17155331}" srcOrd="1" destOrd="0" presId="urn:microsoft.com/office/officeart/2005/8/layout/orgChart1"/>
    <dgm:cxn modelId="{4E2EBA8C-9325-4459-A57F-9CA9653AE831}" type="presParOf" srcId="{31055438-012A-4E75-A2C5-6CAB8004D286}" destId="{3E58F6E0-48C5-4AC2-8435-5FC98CD02A80}" srcOrd="1" destOrd="0" presId="urn:microsoft.com/office/officeart/2005/8/layout/orgChart1"/>
    <dgm:cxn modelId="{C5EA30D2-A3A4-4E13-BCB7-CF109E6084CE}" type="presParOf" srcId="{31055438-012A-4E75-A2C5-6CAB8004D286}" destId="{6A01F591-414B-4FD0-AE90-D35CA7E45B80}" srcOrd="2" destOrd="0" presId="urn:microsoft.com/office/officeart/2005/8/layout/orgChart1"/>
    <dgm:cxn modelId="{A26AB771-B0A2-4135-842F-C6B239BB1F50}" type="presParOf" srcId="{6DA41455-34C1-414A-925F-D0DB0DF85B10}" destId="{2C20F41F-1075-400E-B719-614247EEF361}" srcOrd="2" destOrd="0" presId="urn:microsoft.com/office/officeart/2005/8/layout/orgChart1"/>
    <dgm:cxn modelId="{A718388B-5032-49CB-B05F-538B2B1B429B}" type="presParOf" srcId="{6DA41455-34C1-414A-925F-D0DB0DF85B10}" destId="{8E95A61F-50F1-434F-A239-C5D55E4A30B3}" srcOrd="3" destOrd="0" presId="urn:microsoft.com/office/officeart/2005/8/layout/orgChart1"/>
    <dgm:cxn modelId="{03D4B013-D8A7-47FF-ABCF-503B2CE2E32E}" type="presParOf" srcId="{8E95A61F-50F1-434F-A239-C5D55E4A30B3}" destId="{B4617458-9CF5-4FC8-939E-915AF2E76554}" srcOrd="0" destOrd="0" presId="urn:microsoft.com/office/officeart/2005/8/layout/orgChart1"/>
    <dgm:cxn modelId="{2DE9C3A1-15CF-4CFE-89D1-573CE38CD6D5}" type="presParOf" srcId="{B4617458-9CF5-4FC8-939E-915AF2E76554}" destId="{C0AD47E4-8D8E-4884-B2A7-338F23456C51}" srcOrd="0" destOrd="0" presId="urn:microsoft.com/office/officeart/2005/8/layout/orgChart1"/>
    <dgm:cxn modelId="{A180FF77-9DA4-4054-AC8A-1DFABB22726B}" type="presParOf" srcId="{B4617458-9CF5-4FC8-939E-915AF2E76554}" destId="{619EFD7F-478C-40E8-9227-FFC40FE9A778}" srcOrd="1" destOrd="0" presId="urn:microsoft.com/office/officeart/2005/8/layout/orgChart1"/>
    <dgm:cxn modelId="{F7344C7C-D019-4F93-BDA4-D5C7F0734AD8}" type="presParOf" srcId="{8E95A61F-50F1-434F-A239-C5D55E4A30B3}" destId="{5EB84F34-1D29-499D-A1EF-242F63960333}" srcOrd="1" destOrd="0" presId="urn:microsoft.com/office/officeart/2005/8/layout/orgChart1"/>
    <dgm:cxn modelId="{9FC19528-4DB3-4867-9C7D-AACE735F0A6A}" type="presParOf" srcId="{8E95A61F-50F1-434F-A239-C5D55E4A30B3}" destId="{BC6953E2-0065-46C3-8CA7-1FAD4A5DF2EE}" srcOrd="2" destOrd="0" presId="urn:microsoft.com/office/officeart/2005/8/layout/orgChart1"/>
    <dgm:cxn modelId="{4FAC42F4-1786-41F1-95DC-229D97BCD464}" type="presParOf" srcId="{6DA41455-34C1-414A-925F-D0DB0DF85B10}" destId="{1CA28726-CE00-4A7F-8D23-F3A9C2A13704}" srcOrd="4" destOrd="0" presId="urn:microsoft.com/office/officeart/2005/8/layout/orgChart1"/>
    <dgm:cxn modelId="{68F5AB36-07CB-4F7B-B193-AB854B4B5EFA}" type="presParOf" srcId="{6DA41455-34C1-414A-925F-D0DB0DF85B10}" destId="{ED1CABFA-6BD0-4C87-A8B3-4C1A4533FCA9}" srcOrd="5" destOrd="0" presId="urn:microsoft.com/office/officeart/2005/8/layout/orgChart1"/>
    <dgm:cxn modelId="{8A8B3345-9521-4E2B-A291-DD867AEF94AD}" type="presParOf" srcId="{ED1CABFA-6BD0-4C87-A8B3-4C1A4533FCA9}" destId="{6AB20EA7-3A6A-45A0-A0E5-AAD72F0C6B0D}" srcOrd="0" destOrd="0" presId="urn:microsoft.com/office/officeart/2005/8/layout/orgChart1"/>
    <dgm:cxn modelId="{484B17F0-4E49-4923-B16B-4D053826A403}" type="presParOf" srcId="{6AB20EA7-3A6A-45A0-A0E5-AAD72F0C6B0D}" destId="{73FAD76A-7CD5-450B-8E86-83B049F8495A}" srcOrd="0" destOrd="0" presId="urn:microsoft.com/office/officeart/2005/8/layout/orgChart1"/>
    <dgm:cxn modelId="{1C1564FA-5A73-41C7-9BAD-18FA86BBF544}" type="presParOf" srcId="{6AB20EA7-3A6A-45A0-A0E5-AAD72F0C6B0D}" destId="{DA3FA785-11DA-48F4-ABF4-5203B60F9D24}" srcOrd="1" destOrd="0" presId="urn:microsoft.com/office/officeart/2005/8/layout/orgChart1"/>
    <dgm:cxn modelId="{EFD3D448-B8AD-452A-A5D0-F5988254E55B}" type="presParOf" srcId="{ED1CABFA-6BD0-4C87-A8B3-4C1A4533FCA9}" destId="{F7A040CB-1265-44C2-9C89-AE5F140A7883}" srcOrd="1" destOrd="0" presId="urn:microsoft.com/office/officeart/2005/8/layout/orgChart1"/>
    <dgm:cxn modelId="{D9F655AF-10D5-4CDD-BA16-C7FEBADF4A52}" type="presParOf" srcId="{ED1CABFA-6BD0-4C87-A8B3-4C1A4533FCA9}" destId="{5DA3D751-59C2-47CC-B327-06BFF9A04AAC}" srcOrd="2" destOrd="0" presId="urn:microsoft.com/office/officeart/2005/8/layout/orgChart1"/>
    <dgm:cxn modelId="{A3F372C4-36A4-4B15-BF7C-DE48A68BE565}" type="presParOf" srcId="{E88D3361-EDEB-47C6-A1F0-DAA9D947BDDB}" destId="{1D818386-4F3B-49A0-A124-03FC0DF0E87B}" srcOrd="2" destOrd="0" presId="urn:microsoft.com/office/officeart/2005/8/layout/orgChart1"/>
    <dgm:cxn modelId="{C5B06FF1-1BD9-4800-A4DD-196BD15AB734}" type="presParOf" srcId="{1D818386-4F3B-49A0-A124-03FC0DF0E87B}" destId="{DC5EE428-977C-47E6-851C-970877DAF13A}" srcOrd="0" destOrd="0" presId="urn:microsoft.com/office/officeart/2005/8/layout/orgChart1"/>
    <dgm:cxn modelId="{3201F5F8-D8EC-4088-A03C-E1C659F62F3F}" type="presParOf" srcId="{1D818386-4F3B-49A0-A124-03FC0DF0E87B}" destId="{41A23CEB-0F9A-43D0-BE42-7A88EA6B79DC}" srcOrd="1" destOrd="0" presId="urn:microsoft.com/office/officeart/2005/8/layout/orgChart1"/>
    <dgm:cxn modelId="{8D5FE105-BA2D-4978-AFC7-9D574D9B1D70}" type="presParOf" srcId="{41A23CEB-0F9A-43D0-BE42-7A88EA6B79DC}" destId="{507DF771-E323-418F-BB48-3881068B9D57}" srcOrd="0" destOrd="0" presId="urn:microsoft.com/office/officeart/2005/8/layout/orgChart1"/>
    <dgm:cxn modelId="{488A064B-0C0E-4DA4-9696-7206FB881342}" type="presParOf" srcId="{507DF771-E323-418F-BB48-3881068B9D57}" destId="{144753C2-929E-4E6C-9EE7-7AE5F42CDBF3}" srcOrd="0" destOrd="0" presId="urn:microsoft.com/office/officeart/2005/8/layout/orgChart1"/>
    <dgm:cxn modelId="{9543697F-D969-4D2B-9F6F-4AC29C6CEE08}" type="presParOf" srcId="{507DF771-E323-418F-BB48-3881068B9D57}" destId="{C9248083-C868-429B-AB36-1086C3E36C14}" srcOrd="1" destOrd="0" presId="urn:microsoft.com/office/officeart/2005/8/layout/orgChart1"/>
    <dgm:cxn modelId="{12BA3E6B-929E-4EA4-B74B-5A0E6B73750C}" type="presParOf" srcId="{41A23CEB-0F9A-43D0-BE42-7A88EA6B79DC}" destId="{B0AC7F20-2A99-4675-8B4C-6641A999E603}" srcOrd="1" destOrd="0" presId="urn:microsoft.com/office/officeart/2005/8/layout/orgChart1"/>
    <dgm:cxn modelId="{CE29BFF5-B174-41DC-BA84-7BD4DCFE92F4}" type="presParOf" srcId="{41A23CEB-0F9A-43D0-BE42-7A88EA6B79DC}" destId="{5EB3A78E-73B4-4E86-95EA-ABC84B0FAE91}" srcOrd="2" destOrd="0" presId="urn:microsoft.com/office/officeart/2005/8/layout/orgChart1"/>
    <dgm:cxn modelId="{3BEF229F-AAB8-4C3E-8081-B0C230E926C8}" type="presParOf" srcId="{1D818386-4F3B-49A0-A124-03FC0DF0E87B}" destId="{61BBB8B6-5553-4F72-99E7-8CAE6C00F36F}" srcOrd="2" destOrd="0" presId="urn:microsoft.com/office/officeart/2005/8/layout/orgChart1"/>
    <dgm:cxn modelId="{3E919C09-2BAE-4EE5-A0BD-4895B40783E1}" type="presParOf" srcId="{1D818386-4F3B-49A0-A124-03FC0DF0E87B}" destId="{E34C5018-20A5-40DB-981B-E64E66683931}" srcOrd="3" destOrd="0" presId="urn:microsoft.com/office/officeart/2005/8/layout/orgChart1"/>
    <dgm:cxn modelId="{C741802F-C8E4-4A06-87F9-7BBEC7AB4D5A}" type="presParOf" srcId="{E34C5018-20A5-40DB-981B-E64E66683931}" destId="{726682A5-0653-4582-9EC2-735B0F3B1D25}" srcOrd="0" destOrd="0" presId="urn:microsoft.com/office/officeart/2005/8/layout/orgChart1"/>
    <dgm:cxn modelId="{C0076E0D-9D14-4E0B-BBE7-6E1F56CCB3F0}" type="presParOf" srcId="{726682A5-0653-4582-9EC2-735B0F3B1D25}" destId="{1E1F691B-A0A9-4529-9466-3BBF86C4ECE3}" srcOrd="0" destOrd="0" presId="urn:microsoft.com/office/officeart/2005/8/layout/orgChart1"/>
    <dgm:cxn modelId="{4609371B-6388-4092-8C4D-4A87C8013713}" type="presParOf" srcId="{726682A5-0653-4582-9EC2-735B0F3B1D25}" destId="{1395C939-019D-461C-948B-37E0F966B1E2}" srcOrd="1" destOrd="0" presId="urn:microsoft.com/office/officeart/2005/8/layout/orgChart1"/>
    <dgm:cxn modelId="{FBDD9651-452B-4333-A456-83DEE4EBA6E0}" type="presParOf" srcId="{E34C5018-20A5-40DB-981B-E64E66683931}" destId="{5A26E600-2732-4B2C-BF9D-C04E3C197F1A}" srcOrd="1" destOrd="0" presId="urn:microsoft.com/office/officeart/2005/8/layout/orgChart1"/>
    <dgm:cxn modelId="{B386AD14-1F14-47C7-8BA9-D7BC24A8710C}" type="presParOf" srcId="{E34C5018-20A5-40DB-981B-E64E66683931}" destId="{4ADEC389-29DA-4B88-8642-97DD8AB75472}" srcOrd="2" destOrd="0" presId="urn:microsoft.com/office/officeart/2005/8/layout/orgChart1"/>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1BBB8B6-5553-4F72-99E7-8CAE6C00F36F}">
      <dsp:nvSpPr>
        <dsp:cNvPr id="0" name=""/>
        <dsp:cNvSpPr/>
      </dsp:nvSpPr>
      <dsp:spPr>
        <a:xfrm>
          <a:off x="2753783" y="1011915"/>
          <a:ext cx="169069" cy="740684"/>
        </a:xfrm>
        <a:custGeom>
          <a:avLst/>
          <a:gdLst/>
          <a:ahLst/>
          <a:cxnLst/>
          <a:rect l="0" t="0" r="0" b="0"/>
          <a:pathLst>
            <a:path>
              <a:moveTo>
                <a:pt x="0" y="0"/>
              </a:moveTo>
              <a:lnTo>
                <a:pt x="0" y="740684"/>
              </a:lnTo>
              <a:lnTo>
                <a:pt x="169069" y="74068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5EE428-977C-47E6-851C-970877DAF13A}">
      <dsp:nvSpPr>
        <dsp:cNvPr id="0" name=""/>
        <dsp:cNvSpPr/>
      </dsp:nvSpPr>
      <dsp:spPr>
        <a:xfrm>
          <a:off x="2584714" y="1011915"/>
          <a:ext cx="169069" cy="740684"/>
        </a:xfrm>
        <a:custGeom>
          <a:avLst/>
          <a:gdLst/>
          <a:ahLst/>
          <a:cxnLst/>
          <a:rect l="0" t="0" r="0" b="0"/>
          <a:pathLst>
            <a:path>
              <a:moveTo>
                <a:pt x="169069" y="0"/>
              </a:moveTo>
              <a:lnTo>
                <a:pt x="169069" y="740684"/>
              </a:lnTo>
              <a:lnTo>
                <a:pt x="0" y="74068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A28726-CE00-4A7F-8D23-F3A9C2A13704}">
      <dsp:nvSpPr>
        <dsp:cNvPr id="0" name=""/>
        <dsp:cNvSpPr/>
      </dsp:nvSpPr>
      <dsp:spPr>
        <a:xfrm>
          <a:off x="2753783" y="1011915"/>
          <a:ext cx="1948321" cy="1481368"/>
        </a:xfrm>
        <a:custGeom>
          <a:avLst/>
          <a:gdLst/>
          <a:ahLst/>
          <a:cxnLst/>
          <a:rect l="0" t="0" r="0" b="0"/>
          <a:pathLst>
            <a:path>
              <a:moveTo>
                <a:pt x="0" y="0"/>
              </a:moveTo>
              <a:lnTo>
                <a:pt x="0" y="1312299"/>
              </a:lnTo>
              <a:lnTo>
                <a:pt x="1948321" y="1312299"/>
              </a:lnTo>
              <a:lnTo>
                <a:pt x="1948321" y="148136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20F41F-1075-400E-B719-614247EEF361}">
      <dsp:nvSpPr>
        <dsp:cNvPr id="0" name=""/>
        <dsp:cNvSpPr/>
      </dsp:nvSpPr>
      <dsp:spPr>
        <a:xfrm>
          <a:off x="2708063" y="1011915"/>
          <a:ext cx="91440" cy="1481368"/>
        </a:xfrm>
        <a:custGeom>
          <a:avLst/>
          <a:gdLst/>
          <a:ahLst/>
          <a:cxnLst/>
          <a:rect l="0" t="0" r="0" b="0"/>
          <a:pathLst>
            <a:path>
              <a:moveTo>
                <a:pt x="45720" y="0"/>
              </a:moveTo>
              <a:lnTo>
                <a:pt x="45720" y="148136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22F4C1A-D279-43C9-9BD6-0D86CBA3DD1C}">
      <dsp:nvSpPr>
        <dsp:cNvPr id="0" name=""/>
        <dsp:cNvSpPr/>
      </dsp:nvSpPr>
      <dsp:spPr>
        <a:xfrm>
          <a:off x="805461" y="1011915"/>
          <a:ext cx="1948321" cy="1481368"/>
        </a:xfrm>
        <a:custGeom>
          <a:avLst/>
          <a:gdLst/>
          <a:ahLst/>
          <a:cxnLst/>
          <a:rect l="0" t="0" r="0" b="0"/>
          <a:pathLst>
            <a:path>
              <a:moveTo>
                <a:pt x="1948321" y="0"/>
              </a:moveTo>
              <a:lnTo>
                <a:pt x="1948321" y="1312299"/>
              </a:lnTo>
              <a:lnTo>
                <a:pt x="0" y="1312299"/>
              </a:lnTo>
              <a:lnTo>
                <a:pt x="0" y="148136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97284E-5B6C-4B37-A7DB-2268B8FB3E2E}">
      <dsp:nvSpPr>
        <dsp:cNvPr id="0" name=""/>
        <dsp:cNvSpPr/>
      </dsp:nvSpPr>
      <dsp:spPr>
        <a:xfrm>
          <a:off x="1948691" y="206823"/>
          <a:ext cx="1610183" cy="805091"/>
        </a:xfrm>
        <a:prstGeom prst="rect">
          <a:avLst/>
        </a:prstGeom>
        <a:solidFill>
          <a:srgbClr val="3BB4D1"/>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kern="1200" baseline="0" smtClean="0">
              <a:latin typeface="Calibri"/>
            </a:rPr>
            <a:t>Получатели субсидий в 2015 году по видам экономической деятельности </a:t>
          </a:r>
          <a:endParaRPr lang="ru-RU" sz="1000" kern="1200" smtClean="0"/>
        </a:p>
      </dsp:txBody>
      <dsp:txXfrm>
        <a:off x="1948691" y="206823"/>
        <a:ext cx="1610183" cy="805091"/>
      </dsp:txXfrm>
    </dsp:sp>
    <dsp:sp modelId="{13593799-BBCC-4238-A82B-FDB46A505122}">
      <dsp:nvSpPr>
        <dsp:cNvPr id="0" name=""/>
        <dsp:cNvSpPr/>
      </dsp:nvSpPr>
      <dsp:spPr>
        <a:xfrm>
          <a:off x="369" y="2493284"/>
          <a:ext cx="1610183" cy="805091"/>
        </a:xfrm>
        <a:prstGeom prst="rect">
          <a:avLst/>
        </a:prstGeom>
        <a:solidFill>
          <a:srgbClr val="2BE1CB"/>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u="sng" kern="1200" baseline="0" smtClean="0">
              <a:solidFill>
                <a:srgbClr val="2F5496"/>
              </a:solidFill>
              <a:latin typeface="Calibri"/>
            </a:rPr>
            <a:t>Сельское хозяйство</a:t>
          </a:r>
        </a:p>
        <a:p>
          <a:pPr marR="0" lvl="0" algn="l" defTabSz="444500" rtl="0">
            <a:lnSpc>
              <a:spcPct val="90000"/>
            </a:lnSpc>
            <a:spcBef>
              <a:spcPct val="0"/>
            </a:spcBef>
            <a:spcAft>
              <a:spcPct val="35000"/>
            </a:spcAft>
          </a:pPr>
          <a:r>
            <a:rPr lang="ru-RU" sz="1000" b="1" i="1" kern="1200" baseline="0" smtClean="0">
              <a:latin typeface="Calibri"/>
            </a:rPr>
            <a:t> </a:t>
          </a:r>
          <a:endParaRPr lang="ru-RU" sz="1000" b="1" i="1" kern="1200" baseline="0" smtClean="0">
            <a:latin typeface="Times New Roman"/>
          </a:endParaRPr>
        </a:p>
        <a:p>
          <a:pPr marR="0" lvl="0" algn="l" defTabSz="444500" rtl="0">
            <a:lnSpc>
              <a:spcPct val="90000"/>
            </a:lnSpc>
            <a:spcBef>
              <a:spcPct val="0"/>
            </a:spcBef>
            <a:spcAft>
              <a:spcPct val="35000"/>
            </a:spcAft>
          </a:pPr>
          <a:r>
            <a:rPr lang="ru-RU" sz="1000" b="1" i="1" kern="1200" baseline="0" smtClean="0">
              <a:latin typeface="Calibri"/>
            </a:rPr>
            <a:t> 3 субъекта;</a:t>
          </a:r>
        </a:p>
        <a:p>
          <a:pPr marR="0" lvl="0" algn="l" defTabSz="444500" rtl="0">
            <a:lnSpc>
              <a:spcPct val="90000"/>
            </a:lnSpc>
            <a:spcBef>
              <a:spcPct val="0"/>
            </a:spcBef>
            <a:spcAft>
              <a:spcPct val="35000"/>
            </a:spcAft>
          </a:pPr>
          <a:r>
            <a:rPr lang="ru-RU" sz="1000" b="1" i="1" kern="1200" baseline="0" smtClean="0">
              <a:latin typeface="Calibri"/>
            </a:rPr>
            <a:t> сумма 0,6 млн.руб.</a:t>
          </a:r>
          <a:endParaRPr lang="ru-RU" sz="1000" kern="1200" smtClean="0"/>
        </a:p>
      </dsp:txBody>
      <dsp:txXfrm>
        <a:off x="369" y="2493284"/>
        <a:ext cx="1610183" cy="805091"/>
      </dsp:txXfrm>
    </dsp:sp>
    <dsp:sp modelId="{C0AD47E4-8D8E-4884-B2A7-338F23456C51}">
      <dsp:nvSpPr>
        <dsp:cNvPr id="0" name=""/>
        <dsp:cNvSpPr/>
      </dsp:nvSpPr>
      <dsp:spPr>
        <a:xfrm>
          <a:off x="1948691" y="2493284"/>
          <a:ext cx="1610183" cy="805091"/>
        </a:xfrm>
        <a:prstGeom prst="rect">
          <a:avLst/>
        </a:prstGeom>
        <a:solidFill>
          <a:srgbClr val="2BE1CB"/>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u="sng" kern="1200" baseline="0" smtClean="0">
              <a:solidFill>
                <a:srgbClr val="2F5496"/>
              </a:solidFill>
              <a:latin typeface="Calibri"/>
            </a:rPr>
            <a:t>Торговля, бытовые услуги</a:t>
          </a:r>
        </a:p>
        <a:p>
          <a:pPr marR="0" lvl="0" algn="l" defTabSz="444500" rtl="0">
            <a:lnSpc>
              <a:spcPct val="90000"/>
            </a:lnSpc>
            <a:spcBef>
              <a:spcPct val="0"/>
            </a:spcBef>
            <a:spcAft>
              <a:spcPct val="35000"/>
            </a:spcAft>
          </a:pPr>
          <a:r>
            <a:rPr lang="ru-RU" sz="1000" b="1" i="1" kern="1200" baseline="0" smtClean="0">
              <a:latin typeface="Calibri"/>
            </a:rPr>
            <a:t> 8 субъектов;</a:t>
          </a:r>
        </a:p>
        <a:p>
          <a:pPr marR="0" lvl="0" algn="l" defTabSz="444500" rtl="0">
            <a:lnSpc>
              <a:spcPct val="90000"/>
            </a:lnSpc>
            <a:spcBef>
              <a:spcPct val="0"/>
            </a:spcBef>
            <a:spcAft>
              <a:spcPct val="35000"/>
            </a:spcAft>
          </a:pPr>
          <a:r>
            <a:rPr lang="ru-RU" sz="1000" b="1" i="1" kern="1200" baseline="0" smtClean="0">
              <a:latin typeface="Calibri"/>
            </a:rPr>
            <a:t> сумма 2,1 млн.руб.</a:t>
          </a:r>
          <a:endParaRPr lang="ru-RU" sz="1000" kern="1200" smtClean="0"/>
        </a:p>
      </dsp:txBody>
      <dsp:txXfrm>
        <a:off x="1948691" y="2493284"/>
        <a:ext cx="1610183" cy="805091"/>
      </dsp:txXfrm>
    </dsp:sp>
    <dsp:sp modelId="{73FAD76A-7CD5-450B-8E86-83B049F8495A}">
      <dsp:nvSpPr>
        <dsp:cNvPr id="0" name=""/>
        <dsp:cNvSpPr/>
      </dsp:nvSpPr>
      <dsp:spPr>
        <a:xfrm>
          <a:off x="3897013" y="2493284"/>
          <a:ext cx="1610183" cy="805091"/>
        </a:xfrm>
        <a:prstGeom prst="rect">
          <a:avLst/>
        </a:prstGeom>
        <a:solidFill>
          <a:srgbClr val="2BE1CB"/>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u="sng" kern="1200" baseline="0" smtClean="0">
              <a:solidFill>
                <a:srgbClr val="2F5496"/>
              </a:solidFill>
              <a:latin typeface="Calibri"/>
            </a:rPr>
            <a:t>Прочие</a:t>
          </a:r>
        </a:p>
        <a:p>
          <a:pPr marR="0" lvl="0" algn="ctr" defTabSz="444500" rtl="0">
            <a:lnSpc>
              <a:spcPct val="90000"/>
            </a:lnSpc>
            <a:spcBef>
              <a:spcPct val="0"/>
            </a:spcBef>
            <a:spcAft>
              <a:spcPct val="35000"/>
            </a:spcAft>
          </a:pPr>
          <a:endParaRPr lang="ru-RU" sz="1000" b="1" kern="1200" baseline="0" smtClean="0">
            <a:solidFill>
              <a:srgbClr val="2F5496"/>
            </a:solidFill>
            <a:latin typeface="Times New Roman"/>
          </a:endParaRPr>
        </a:p>
        <a:p>
          <a:pPr marR="0" lvl="0" algn="l" defTabSz="444500" rtl="0">
            <a:lnSpc>
              <a:spcPct val="90000"/>
            </a:lnSpc>
            <a:spcBef>
              <a:spcPct val="0"/>
            </a:spcBef>
            <a:spcAft>
              <a:spcPct val="35000"/>
            </a:spcAft>
          </a:pPr>
          <a:r>
            <a:rPr lang="ru-RU" sz="1000" kern="1200" baseline="0" smtClean="0">
              <a:latin typeface="Calibri"/>
            </a:rPr>
            <a:t> </a:t>
          </a:r>
          <a:r>
            <a:rPr lang="ru-RU" sz="1000" b="1" i="1" kern="1200" baseline="0" smtClean="0">
              <a:latin typeface="Calibri"/>
            </a:rPr>
            <a:t>4 субъекта;</a:t>
          </a:r>
        </a:p>
        <a:p>
          <a:pPr marR="0" lvl="0" algn="l" defTabSz="444500" rtl="0">
            <a:lnSpc>
              <a:spcPct val="90000"/>
            </a:lnSpc>
            <a:spcBef>
              <a:spcPct val="0"/>
            </a:spcBef>
            <a:spcAft>
              <a:spcPct val="35000"/>
            </a:spcAft>
          </a:pPr>
          <a:r>
            <a:rPr lang="ru-RU" sz="1000" b="1" i="1" kern="1200" baseline="0" smtClean="0">
              <a:latin typeface="Calibri"/>
            </a:rPr>
            <a:t> сумма 1,2 млн.руб.</a:t>
          </a:r>
          <a:endParaRPr lang="ru-RU" sz="1000" kern="1200" smtClean="0"/>
        </a:p>
      </dsp:txBody>
      <dsp:txXfrm>
        <a:off x="3897013" y="2493284"/>
        <a:ext cx="1610183" cy="805091"/>
      </dsp:txXfrm>
    </dsp:sp>
    <dsp:sp modelId="{144753C2-929E-4E6C-9EE7-7AE5F42CDBF3}">
      <dsp:nvSpPr>
        <dsp:cNvPr id="0" name=""/>
        <dsp:cNvSpPr/>
      </dsp:nvSpPr>
      <dsp:spPr>
        <a:xfrm>
          <a:off x="974530" y="1350054"/>
          <a:ext cx="1610183" cy="805091"/>
        </a:xfrm>
        <a:prstGeom prst="rect">
          <a:avLst/>
        </a:prstGeom>
        <a:solidFill>
          <a:srgbClr val="2BE1CB"/>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kern="1200" baseline="0" smtClean="0">
              <a:solidFill>
                <a:srgbClr val="2F5496"/>
              </a:solidFill>
              <a:latin typeface="Calibri"/>
            </a:rPr>
            <a:t>Рыбопромышленный комплекс</a:t>
          </a:r>
          <a:endParaRPr lang="ru-RU" sz="1000" b="1" kern="1200" baseline="0" smtClean="0">
            <a:solidFill>
              <a:srgbClr val="2F5496"/>
            </a:solidFill>
            <a:latin typeface="Times New Roman"/>
          </a:endParaRPr>
        </a:p>
        <a:p>
          <a:pPr marR="0" lvl="0" algn="l" defTabSz="444500" rtl="0">
            <a:lnSpc>
              <a:spcPct val="90000"/>
            </a:lnSpc>
            <a:spcBef>
              <a:spcPct val="0"/>
            </a:spcBef>
            <a:spcAft>
              <a:spcPct val="35000"/>
            </a:spcAft>
          </a:pPr>
          <a:r>
            <a:rPr lang="ru-RU" sz="1000" b="1" i="1" kern="1200" baseline="0" smtClean="0">
              <a:latin typeface="Times New Roman"/>
            </a:rPr>
            <a:t> 5 субъектов;</a:t>
          </a:r>
        </a:p>
        <a:p>
          <a:pPr marR="0" lvl="0" algn="l" defTabSz="444500" rtl="0">
            <a:lnSpc>
              <a:spcPct val="90000"/>
            </a:lnSpc>
            <a:spcBef>
              <a:spcPct val="0"/>
            </a:spcBef>
            <a:spcAft>
              <a:spcPct val="35000"/>
            </a:spcAft>
          </a:pPr>
          <a:r>
            <a:rPr lang="ru-RU" sz="1000" b="1" i="1" kern="1200" baseline="0" smtClean="0">
              <a:latin typeface="Calibri"/>
            </a:rPr>
            <a:t> сумма 4,6 млн. руб.</a:t>
          </a:r>
          <a:endParaRPr lang="ru-RU" sz="1000" kern="1200" smtClean="0"/>
        </a:p>
      </dsp:txBody>
      <dsp:txXfrm>
        <a:off x="974530" y="1350054"/>
        <a:ext cx="1610183" cy="805091"/>
      </dsp:txXfrm>
    </dsp:sp>
    <dsp:sp modelId="{1E1F691B-A0A9-4529-9466-3BBF86C4ECE3}">
      <dsp:nvSpPr>
        <dsp:cNvPr id="0" name=""/>
        <dsp:cNvSpPr/>
      </dsp:nvSpPr>
      <dsp:spPr>
        <a:xfrm>
          <a:off x="2922852" y="1350054"/>
          <a:ext cx="1610183" cy="805091"/>
        </a:xfrm>
        <a:prstGeom prst="rect">
          <a:avLst/>
        </a:prstGeom>
        <a:solidFill>
          <a:srgbClr val="2BE1CB"/>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90000"/>
            </a:lnSpc>
            <a:spcBef>
              <a:spcPct val="0"/>
            </a:spcBef>
            <a:spcAft>
              <a:spcPct val="35000"/>
            </a:spcAft>
          </a:pPr>
          <a:r>
            <a:rPr lang="ru-RU" sz="1000" b="1" u="sng" kern="1200" baseline="0" smtClean="0">
              <a:solidFill>
                <a:srgbClr val="2F5496"/>
              </a:solidFill>
              <a:latin typeface="Calibri"/>
            </a:rPr>
            <a:t>Транспортная деятельность</a:t>
          </a:r>
        </a:p>
        <a:p>
          <a:pPr marR="0" lvl="0" algn="l" defTabSz="444500" rtl="0">
            <a:lnSpc>
              <a:spcPct val="90000"/>
            </a:lnSpc>
            <a:spcBef>
              <a:spcPct val="0"/>
            </a:spcBef>
            <a:spcAft>
              <a:spcPct val="35000"/>
            </a:spcAft>
          </a:pPr>
          <a:r>
            <a:rPr lang="ru-RU" sz="1000" b="1" i="1" kern="1200" baseline="0" smtClean="0">
              <a:latin typeface="Calibri"/>
            </a:rPr>
            <a:t>  7 субъектов;</a:t>
          </a:r>
        </a:p>
        <a:p>
          <a:pPr marR="0" lvl="0" algn="l" defTabSz="444500" rtl="0">
            <a:lnSpc>
              <a:spcPct val="90000"/>
            </a:lnSpc>
            <a:spcBef>
              <a:spcPct val="0"/>
            </a:spcBef>
            <a:spcAft>
              <a:spcPct val="35000"/>
            </a:spcAft>
          </a:pPr>
          <a:r>
            <a:rPr lang="ru-RU" sz="1000" b="1" i="1" kern="1200" baseline="0" smtClean="0">
              <a:latin typeface="Calibri"/>
            </a:rPr>
            <a:t>  сумма 1,7 млн.руб.</a:t>
          </a:r>
          <a:endParaRPr lang="ru-RU" sz="1000" kern="1200" smtClean="0"/>
        </a:p>
      </dsp:txBody>
      <dsp:txXfrm>
        <a:off x="2922852" y="1350054"/>
        <a:ext cx="1610183" cy="80509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0.0025</cdr:x>
      <cdr:y>0.1215</cdr:y>
    </cdr:from>
    <cdr:to>
      <cdr:x>0.16225</cdr:x>
      <cdr:y>0.2035</cdr:y>
    </cdr:to>
    <cdr:sp macro="" textlink="">
      <cdr:nvSpPr>
        <cdr:cNvPr id="1025" name="Text Box 1"/>
        <cdr:cNvSpPr txBox="1">
          <a:spLocks xmlns:a="http://schemas.openxmlformats.org/drawingml/2006/main" noChangeArrowheads="1"/>
        </cdr:cNvSpPr>
      </cdr:nvSpPr>
      <cdr:spPr bwMode="auto">
        <a:xfrm xmlns:a="http://schemas.openxmlformats.org/drawingml/2006/main">
          <a:off x="14597" y="339085"/>
          <a:ext cx="932752" cy="228848"/>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82D620-4FEC-4BF1-82F7-7378740D05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TotalTime>
  <Pages>57</Pages>
  <Words>13135</Words>
  <Characters>74870</Characters>
  <Application>Microsoft Office Word</Application>
  <DocSecurity>0</DocSecurity>
  <Lines>623</Lines>
  <Paragraphs>175</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87830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kononenko</dc:creator>
  <cp:keywords/>
  <dc:description/>
  <cp:lastModifiedBy>kononenko</cp:lastModifiedBy>
  <cp:revision>12</cp:revision>
  <dcterms:created xsi:type="dcterms:W3CDTF">2016-03-10T02:28:00Z</dcterms:created>
  <dcterms:modified xsi:type="dcterms:W3CDTF">2016-08-04T01:50:00Z</dcterms:modified>
</cp:coreProperties>
</file>