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5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6.xml" ContentType="application/vnd.openxmlformats-officedocument.themeOverrid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7.xml" ContentType="application/vnd.openxmlformats-officedocument.themeOverride+xml"/>
  <Override PartName="/word/charts/chart24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муниципального образования  </w:t>
      </w: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«Городской округ Ногликский»</w:t>
      </w: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F00332">
        <w:rPr>
          <w:rFonts w:ascii="Times New Roman" w:hAnsi="Times New Roman" w:cs="Times New Roman"/>
          <w:b/>
          <w:i/>
          <w:sz w:val="56"/>
          <w:szCs w:val="56"/>
        </w:rPr>
        <w:t>Итоги социально экономического развития муниципального образования «Городской округ Ногликский» за 2016 год</w:t>
      </w: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 Ноглики</w:t>
      </w:r>
    </w:p>
    <w:p w:rsidR="00F00332" w:rsidRDefault="00F00332" w:rsidP="00F003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</w:t>
      </w:r>
    </w:p>
    <w:p w:rsidR="00F00332" w:rsidRPr="000326BF" w:rsidRDefault="00F00332" w:rsidP="00F003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lastRenderedPageBreak/>
        <w:t xml:space="preserve">Муниципальное образование по прежнему занимает лидирующее место в Сахалинской области по основным макроэкономическим показателям: объему промышленного производства, в т. ч. на душу </w:t>
      </w:r>
      <w:proofErr w:type="gramStart"/>
      <w:r w:rsidRPr="000326BF">
        <w:rPr>
          <w:rFonts w:ascii="Times New Roman" w:hAnsi="Times New Roman"/>
          <w:sz w:val="28"/>
          <w:szCs w:val="28"/>
        </w:rPr>
        <w:t>населения</w:t>
      </w:r>
      <w:r w:rsidRPr="008F6830">
        <w:rPr>
          <w:rFonts w:ascii="Times New Roman" w:hAnsi="Times New Roman"/>
          <w:sz w:val="28"/>
          <w:szCs w:val="28"/>
        </w:rPr>
        <w:t>,  уровню</w:t>
      </w:r>
      <w:proofErr w:type="gramEnd"/>
      <w:r w:rsidRPr="008F6830">
        <w:rPr>
          <w:rFonts w:ascii="Times New Roman" w:hAnsi="Times New Roman"/>
          <w:sz w:val="28"/>
          <w:szCs w:val="28"/>
        </w:rPr>
        <w:t xml:space="preserve"> заработной платы, объемам розничного  товарооборота и общественного питания,  платных и бытовых  услуг.</w:t>
      </w:r>
    </w:p>
    <w:p w:rsidR="00F00332" w:rsidRDefault="00F00332" w:rsidP="00F003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>Администрацией муниципального образования в большей мере были реализованы мероприятия, обозначенные в Плане мероприятий по выполнению Указов Президента Российско</w:t>
      </w:r>
      <w:r>
        <w:rPr>
          <w:rFonts w:ascii="Times New Roman" w:hAnsi="Times New Roman"/>
          <w:sz w:val="28"/>
          <w:szCs w:val="28"/>
        </w:rPr>
        <w:t>й Федерации от 07 мая 2012 года. На 2016 год было утверждено 74 мероприятия с реализацией 100 показателей. На 100 и выше процентов исполнено 74 показателя, не исполнено только 7, остальные выполнены</w:t>
      </w:r>
      <w:r w:rsidRPr="00032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немного ниже плановых значений. (более детально с исполнение Указов можно ознакомиться на сайте администрации).</w:t>
      </w:r>
    </w:p>
    <w:p w:rsidR="00F00332" w:rsidRPr="000326BF" w:rsidRDefault="00F00332" w:rsidP="00F0033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2016 году впервые между главами муниципальных образований и Губернатором Сахалинской области были заключены соглашения о достижении планируемых значений показателей эффективности деятельности органов местного самоуправления. По муниципальному образованию было определено к исполнению 40 показателей. Исполнение за год составило 82,5 процентов и по итогам экспертной оценки, муниципальное образование заняло 6 место из 18 муниципальных образований. </w:t>
      </w:r>
    </w:p>
    <w:p w:rsidR="00F00332" w:rsidRDefault="00F00332" w:rsidP="00F0033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326BF">
        <w:rPr>
          <w:rFonts w:ascii="Times New Roman CYR" w:hAnsi="Times New Roman CYR" w:cs="Times New Roman CYR"/>
          <w:sz w:val="28"/>
          <w:szCs w:val="28"/>
        </w:rPr>
        <w:t>В целом социально-экономическая ситуация в муниципально</w:t>
      </w:r>
      <w:r>
        <w:rPr>
          <w:rFonts w:ascii="Times New Roman CYR" w:hAnsi="Times New Roman CYR" w:cs="Times New Roman CYR"/>
          <w:sz w:val="28"/>
          <w:szCs w:val="28"/>
        </w:rPr>
        <w:t>м образовании в 2016</w:t>
      </w:r>
      <w:r w:rsidRPr="000326BF">
        <w:rPr>
          <w:rFonts w:ascii="Times New Roman CYR" w:hAnsi="Times New Roman CYR" w:cs="Times New Roman CYR"/>
          <w:sz w:val="28"/>
          <w:szCs w:val="28"/>
        </w:rPr>
        <w:t xml:space="preserve"> году складывалась под воздействием экономических и социальных процессов, происходящих в Сахалинской области и в Российской Федерации.</w:t>
      </w:r>
    </w:p>
    <w:p w:rsidR="002B141E" w:rsidRPr="005067F6" w:rsidRDefault="002B141E" w:rsidP="002B141E">
      <w:pPr>
        <w:ind w:firstLine="540"/>
        <w:rPr>
          <w:b/>
          <w:sz w:val="28"/>
          <w:szCs w:val="28"/>
          <w:u w:val="single"/>
        </w:rPr>
      </w:pPr>
    </w:p>
    <w:p w:rsidR="002B141E" w:rsidRDefault="002B141E" w:rsidP="005067F6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7F6">
        <w:rPr>
          <w:rFonts w:ascii="Times New Roman" w:hAnsi="Times New Roman" w:cs="Times New Roman"/>
          <w:b/>
          <w:sz w:val="28"/>
          <w:szCs w:val="28"/>
        </w:rPr>
        <w:t>Демографическая ситуация</w:t>
      </w:r>
    </w:p>
    <w:p w:rsidR="005067F6" w:rsidRPr="005067F6" w:rsidRDefault="005067F6" w:rsidP="005067F6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Демографическая ситуация, сложившаяся в муниципальном образовании по итогам 2016 года, характеризуется </w:t>
      </w:r>
      <w:r w:rsidRPr="005067F6">
        <w:rPr>
          <w:rFonts w:ascii="Times New Roman" w:hAnsi="Times New Roman" w:cs="Times New Roman"/>
          <w:sz w:val="28"/>
          <w:szCs w:val="28"/>
          <w:u w:val="single"/>
        </w:rPr>
        <w:t>стабильной</w:t>
      </w:r>
      <w:r w:rsidRPr="005067F6">
        <w:rPr>
          <w:rFonts w:ascii="Times New Roman" w:hAnsi="Times New Roman" w:cs="Times New Roman"/>
          <w:sz w:val="28"/>
          <w:szCs w:val="28"/>
        </w:rPr>
        <w:t xml:space="preserve"> ситуацией в области естественного воспроизводства населения и </w:t>
      </w:r>
      <w:r w:rsidRPr="005067F6">
        <w:rPr>
          <w:rFonts w:ascii="Times New Roman" w:hAnsi="Times New Roman" w:cs="Times New Roman"/>
          <w:sz w:val="28"/>
          <w:szCs w:val="28"/>
          <w:u w:val="single"/>
        </w:rPr>
        <w:t>положительными</w:t>
      </w:r>
      <w:r w:rsidRPr="005067F6">
        <w:rPr>
          <w:rFonts w:ascii="Times New Roman" w:hAnsi="Times New Roman" w:cs="Times New Roman"/>
          <w:sz w:val="28"/>
          <w:szCs w:val="28"/>
        </w:rPr>
        <w:t xml:space="preserve"> тенденциями в миграционных процессах.</w:t>
      </w: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Сахалинстата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численность населения на начало 2017 года не изменилась в сравнении с началом 2016 года и составляет 11 328 человек </w:t>
      </w:r>
      <w:r w:rsidRPr="005067F6">
        <w:rPr>
          <w:rFonts w:ascii="Times New Roman" w:hAnsi="Times New Roman" w:cs="Times New Roman"/>
          <w:i/>
          <w:sz w:val="28"/>
          <w:szCs w:val="28"/>
        </w:rPr>
        <w:t>(если быть точными – увеличилась на 1 человека).</w:t>
      </w: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Число родившихся в 2016 году составило 145 человек, умерших – 150.</w:t>
      </w:r>
      <w:r w:rsidRPr="005067F6">
        <w:rPr>
          <w:rFonts w:ascii="Times New Roman" w:hAnsi="Times New Roman" w:cs="Times New Roman"/>
          <w:i/>
          <w:sz w:val="28"/>
          <w:szCs w:val="28"/>
        </w:rPr>
        <w:t xml:space="preserve"> Естественная убыль</w:t>
      </w:r>
      <w:r w:rsidRPr="005067F6">
        <w:rPr>
          <w:rFonts w:ascii="Times New Roman" w:hAnsi="Times New Roman" w:cs="Times New Roman"/>
          <w:sz w:val="28"/>
          <w:szCs w:val="28"/>
        </w:rPr>
        <w:t xml:space="preserve"> населения составила 5 человек. Если сравнивать аналогичные показатели за 2015 год, то необходимо отметить, с одной стороны – </w:t>
      </w:r>
      <w:r w:rsidRPr="005067F6">
        <w:rPr>
          <w:rFonts w:ascii="Times New Roman" w:hAnsi="Times New Roman" w:cs="Times New Roman"/>
          <w:sz w:val="28"/>
          <w:szCs w:val="28"/>
          <w:u w:val="single"/>
        </w:rPr>
        <w:t xml:space="preserve">увеличение </w:t>
      </w:r>
      <w:r w:rsidRPr="005067F6">
        <w:rPr>
          <w:rFonts w:ascii="Times New Roman" w:hAnsi="Times New Roman" w:cs="Times New Roman"/>
          <w:sz w:val="28"/>
          <w:szCs w:val="28"/>
        </w:rPr>
        <w:t xml:space="preserve">рождаемости на 14 человек, а с другой – </w:t>
      </w:r>
      <w:r w:rsidRPr="005067F6">
        <w:rPr>
          <w:rFonts w:ascii="Times New Roman" w:hAnsi="Times New Roman" w:cs="Times New Roman"/>
          <w:sz w:val="28"/>
          <w:szCs w:val="28"/>
          <w:u w:val="single"/>
        </w:rPr>
        <w:t>снижение</w:t>
      </w:r>
      <w:r w:rsidRPr="005067F6">
        <w:rPr>
          <w:rFonts w:ascii="Times New Roman" w:hAnsi="Times New Roman" w:cs="Times New Roman"/>
          <w:sz w:val="28"/>
          <w:szCs w:val="28"/>
        </w:rPr>
        <w:t xml:space="preserve"> смертности также на 14 человек. </w:t>
      </w: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lastRenderedPageBreak/>
        <w:t>Основными среди причин смертности являются болезни системы кровообращения, онкологические заболевания, травмы, несовместимые с жизнью.</w:t>
      </w:r>
    </w:p>
    <w:p w:rsidR="002B141E" w:rsidRPr="005067F6" w:rsidRDefault="002B141E" w:rsidP="002B141E">
      <w:pPr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Миграционная политика составляет неотъемлемую часть демографической ситуации и является механизмом целенаправленного воздействия на социальные и миграционные процессы, происходящие на территории муниципального образования. В последние годы число жителей муниципального образования неуклонно сокращалось, причиной чему являлся миграционный </w:t>
      </w:r>
      <w:r w:rsidRPr="005067F6">
        <w:rPr>
          <w:rFonts w:ascii="Times New Roman" w:hAnsi="Times New Roman" w:cs="Times New Roman"/>
          <w:sz w:val="28"/>
          <w:szCs w:val="28"/>
          <w:u w:val="single"/>
        </w:rPr>
        <w:t>отток</w:t>
      </w:r>
      <w:r w:rsidRPr="005067F6">
        <w:rPr>
          <w:rFonts w:ascii="Times New Roman" w:hAnsi="Times New Roman" w:cs="Times New Roman"/>
          <w:sz w:val="28"/>
          <w:szCs w:val="28"/>
        </w:rPr>
        <w:t xml:space="preserve"> населения из городского округа. На протяжении 12 лет число убывших превышало число приезжающих в муниципалитет. В 2016 году ситуация изменилась, и </w:t>
      </w:r>
      <w:r w:rsidRPr="005067F6">
        <w:rPr>
          <w:rFonts w:ascii="Times New Roman" w:hAnsi="Times New Roman" w:cs="Times New Roman"/>
          <w:i/>
          <w:sz w:val="28"/>
          <w:szCs w:val="28"/>
        </w:rPr>
        <w:t>миграционный прирост</w:t>
      </w:r>
      <w:r w:rsidRPr="005067F6">
        <w:rPr>
          <w:rFonts w:ascii="Times New Roman" w:hAnsi="Times New Roman" w:cs="Times New Roman"/>
          <w:sz w:val="28"/>
          <w:szCs w:val="28"/>
        </w:rPr>
        <w:t xml:space="preserve"> составил 6 человек (прибыло в округ 592 человека, убыло – 586).</w:t>
      </w:r>
    </w:p>
    <w:p w:rsidR="002B141E" w:rsidRPr="007113ED" w:rsidRDefault="002B141E" w:rsidP="002B141E">
      <w:pPr>
        <w:ind w:firstLine="561"/>
        <w:jc w:val="both"/>
        <w:rPr>
          <w:rFonts w:ascii="Times New Roman" w:hAnsi="Times New Roman" w:cs="Times New Roman"/>
          <w:sz w:val="26"/>
          <w:szCs w:val="26"/>
        </w:rPr>
      </w:pPr>
    </w:p>
    <w:p w:rsidR="002B141E" w:rsidRPr="007113ED" w:rsidRDefault="002B141E" w:rsidP="002B141E">
      <w:pPr>
        <w:ind w:firstLine="540"/>
        <w:jc w:val="center"/>
        <w:rPr>
          <w:rFonts w:ascii="Times New Roman" w:hAnsi="Times New Roman" w:cs="Times New Roman"/>
          <w:i/>
        </w:rPr>
      </w:pPr>
      <w:r w:rsidRPr="007113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53100" cy="3143250"/>
            <wp:effectExtent l="0" t="0" r="0" b="0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7113ED" w:rsidRPr="007113ED">
        <w:rPr>
          <w:rFonts w:ascii="Times New Roman" w:hAnsi="Times New Roman" w:cs="Times New Roman"/>
          <w:i/>
        </w:rPr>
        <w:t>Рисунок 1</w:t>
      </w:r>
    </w:p>
    <w:p w:rsidR="002B141E" w:rsidRPr="007113ED" w:rsidRDefault="002B141E" w:rsidP="005067F6">
      <w:pPr>
        <w:spacing w:after="0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2B141E" w:rsidRPr="005067F6" w:rsidRDefault="002B141E" w:rsidP="005067F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Особенностью миграционного движения в городском округе являются высокие показатели, как прибывающих, так и выбывающих. Притягивающими факторами, стимулирующие </w:t>
      </w:r>
      <w:r w:rsidRPr="005067F6">
        <w:rPr>
          <w:rFonts w:ascii="Times New Roman" w:hAnsi="Times New Roman" w:cs="Times New Roman"/>
          <w:i/>
          <w:sz w:val="28"/>
          <w:szCs w:val="28"/>
        </w:rPr>
        <w:t>приток мигрантов</w:t>
      </w:r>
      <w:r w:rsidRPr="005067F6">
        <w:rPr>
          <w:rFonts w:ascii="Times New Roman" w:hAnsi="Times New Roman" w:cs="Times New Roman"/>
          <w:sz w:val="28"/>
          <w:szCs w:val="28"/>
        </w:rPr>
        <w:t>, является наличие спроса в рабочих специальностях в сферах строительства, оказания услуг и в тоже время отсутствием предложения на эти места от жителей муниципалитета.</w:t>
      </w:r>
    </w:p>
    <w:p w:rsidR="002B141E" w:rsidRPr="005067F6" w:rsidRDefault="002B141E" w:rsidP="005067F6">
      <w:pPr>
        <w:keepNext/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r w:rsidRPr="005067F6">
        <w:rPr>
          <w:rFonts w:ascii="Times New Roman" w:hAnsi="Times New Roman" w:cs="Times New Roman"/>
          <w:i/>
          <w:sz w:val="28"/>
          <w:szCs w:val="28"/>
        </w:rPr>
        <w:t>миграционный отток</w:t>
      </w:r>
      <w:r w:rsidRPr="005067F6">
        <w:rPr>
          <w:rFonts w:ascii="Times New Roman" w:hAnsi="Times New Roman" w:cs="Times New Roman"/>
          <w:sz w:val="28"/>
          <w:szCs w:val="28"/>
        </w:rPr>
        <w:t xml:space="preserve"> влияют межрегиональные различия </w:t>
      </w:r>
      <w:proofErr w:type="gramStart"/>
      <w:r w:rsidRPr="005067F6">
        <w:rPr>
          <w:rFonts w:ascii="Times New Roman" w:hAnsi="Times New Roman" w:cs="Times New Roman"/>
          <w:sz w:val="28"/>
          <w:szCs w:val="28"/>
        </w:rPr>
        <w:t>стартовых возможностей</w:t>
      </w:r>
      <w:proofErr w:type="gramEnd"/>
      <w:r w:rsidRPr="005067F6">
        <w:rPr>
          <w:rFonts w:ascii="Times New Roman" w:hAnsi="Times New Roman" w:cs="Times New Roman"/>
          <w:sz w:val="28"/>
          <w:szCs w:val="28"/>
        </w:rPr>
        <w:t xml:space="preserve"> прибывающих в городской округ граждан и условия их обустройства: высокая стоимость квадратного метра жилья; отдаленность от мест постоянного проживания в совокупности с высокими транспортными тарифами; личные, семейные мотивы.</w:t>
      </w:r>
    </w:p>
    <w:p w:rsidR="002B141E" w:rsidRPr="005067F6" w:rsidRDefault="002B141E" w:rsidP="005067F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В течение последних лет въезд иностранных граждан на территорию Ногликского городского округа является стабильным. </w:t>
      </w: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По данным Отдела по вопросам миграции УМВД России по Сахалинской области в 2016 году количество обращений иностранных граждан с целью постановки на миграционный учет составило 4 656 (в 2015 году – 5 690). Уменьшение числа обращений иностранных граждан связано с окончанием работ на шельфовых проектах, а также изменением условий получения патента (разрешения на работу), а именно: ежегодным увеличением стоимости патента, необходимостью знания русского языка, прохождением медицинского осмотра, а также достаточно высоким уровнем цен по сравнению с центральными регионами России на товары и услуги.</w:t>
      </w:r>
    </w:p>
    <w:p w:rsidR="002B141E" w:rsidRPr="005067F6" w:rsidRDefault="002B141E" w:rsidP="005067F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i/>
          <w:sz w:val="28"/>
          <w:szCs w:val="28"/>
        </w:rPr>
        <w:t>В визовом</w:t>
      </w:r>
      <w:r w:rsidRPr="005067F6">
        <w:rPr>
          <w:rFonts w:ascii="Times New Roman" w:hAnsi="Times New Roman" w:cs="Times New Roman"/>
          <w:sz w:val="28"/>
          <w:szCs w:val="28"/>
        </w:rPr>
        <w:t xml:space="preserve"> порядке из стран дальнего зарубежья поставлено на учет 2556 человек (или 72% к уровню 2015 года). Количество иностранных граждан, въехавших в </w:t>
      </w:r>
      <w:r w:rsidRPr="005067F6">
        <w:rPr>
          <w:rFonts w:ascii="Times New Roman" w:hAnsi="Times New Roman" w:cs="Times New Roman"/>
          <w:i/>
          <w:sz w:val="28"/>
          <w:szCs w:val="28"/>
        </w:rPr>
        <w:t>безвизовом режиме</w:t>
      </w:r>
      <w:r w:rsidRPr="005067F6">
        <w:rPr>
          <w:rFonts w:ascii="Times New Roman" w:hAnsi="Times New Roman" w:cs="Times New Roman"/>
          <w:sz w:val="28"/>
          <w:szCs w:val="28"/>
        </w:rPr>
        <w:t>, также уменьшилось и составило 2 100 человек (в 2015 году – 2119 человек).</w:t>
      </w:r>
    </w:p>
    <w:p w:rsidR="002B141E" w:rsidRPr="007113ED" w:rsidRDefault="002B141E" w:rsidP="002B141E">
      <w:pPr>
        <w:ind w:firstLine="561"/>
        <w:jc w:val="both"/>
        <w:rPr>
          <w:rFonts w:ascii="Times New Roman" w:hAnsi="Times New Roman" w:cs="Times New Roman"/>
          <w:sz w:val="26"/>
          <w:szCs w:val="26"/>
        </w:rPr>
      </w:pPr>
    </w:p>
    <w:p w:rsidR="002B141E" w:rsidRPr="007113ED" w:rsidRDefault="002B141E" w:rsidP="002B141E">
      <w:pPr>
        <w:ind w:firstLine="56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 xml:space="preserve">Динамика постановки на миграционный учет иностранных граждан, прибывших на территорию муниципального образования </w:t>
      </w:r>
    </w:p>
    <w:p w:rsidR="002B141E" w:rsidRPr="007113ED" w:rsidRDefault="002B141E" w:rsidP="002B141E">
      <w:pPr>
        <w:ind w:firstLine="56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>«Городской округ Ногликский»</w:t>
      </w:r>
    </w:p>
    <w:p w:rsidR="002B141E" w:rsidRPr="007113ED" w:rsidRDefault="002B141E" w:rsidP="002B141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B141E" w:rsidRPr="007113ED" w:rsidRDefault="002B141E" w:rsidP="002B141E">
      <w:pPr>
        <w:jc w:val="center"/>
        <w:rPr>
          <w:rFonts w:ascii="Times New Roman" w:hAnsi="Times New Roman" w:cs="Times New Roman"/>
          <w:i/>
        </w:rPr>
      </w:pPr>
      <w:r w:rsidRPr="007113ED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305550" cy="2486025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7113ED" w:rsidRPr="007113ED">
        <w:rPr>
          <w:rFonts w:ascii="Times New Roman" w:hAnsi="Times New Roman" w:cs="Times New Roman"/>
          <w:i/>
        </w:rPr>
        <w:t>Рисунок 2</w:t>
      </w:r>
    </w:p>
    <w:p w:rsidR="002B141E" w:rsidRPr="007113ED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6"/>
          <w:szCs w:val="26"/>
        </w:rPr>
      </w:pP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lastRenderedPageBreak/>
        <w:t>Из общего числа въехавших 3 804 человека (82%) прибыли с целью «работа по найму», 112 человек (2,4%) – «деловая» поездка» – в командировку, 23 человека (0,5%) – туристы. Цель приезда остальных граждан носят частный характер.</w:t>
      </w:r>
    </w:p>
    <w:p w:rsidR="002B141E" w:rsidRPr="005067F6" w:rsidRDefault="002B141E" w:rsidP="005067F6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В отчетном периоде в городской округ прибыл 1 гражданин, покинувший Украину в связи с боевыми действиями в Донецкой и Луганской областях. В настоящее время решается вопрос о выдаче ему Свидетельства о предоставлении временного убежища на территории РФ. </w:t>
      </w:r>
    </w:p>
    <w:p w:rsidR="002B141E" w:rsidRPr="007113ED" w:rsidRDefault="002B141E" w:rsidP="005067F6">
      <w:pPr>
        <w:spacing w:after="0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2B141E" w:rsidRPr="007113ED" w:rsidRDefault="002B141E" w:rsidP="005067F6">
      <w:pPr>
        <w:spacing w:after="0"/>
        <w:ind w:firstLine="42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>Труд и занятость населения</w:t>
      </w:r>
    </w:p>
    <w:p w:rsidR="002B141E" w:rsidRPr="005067F6" w:rsidRDefault="002B141E" w:rsidP="005067F6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Численность экономически активного населения муниципального образования составляет 6,5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тыс.человек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или 57% от общего числа жителей городского округа. В экономике муниципалитета заняты 4,8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тыс.человек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B141E" w:rsidRPr="005067F6" w:rsidRDefault="002B141E" w:rsidP="005067F6">
      <w:pPr>
        <w:keepNext/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Преобладающая часть занятого населения (4,3 тыс. человек) сосредоточена на крупных и средних предприятиях и организациях.</w:t>
      </w: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В 2016 году перед органами государственной власти стояли задачи не допустить серьезного снижения занятости и трудовых доходов населения, роста безработицы и напряженности на рынке труда. На их решение был направлен комплекс мер по активизации экономической деятельности и поддержке граждан, оказавшихся в трудной жизненной ситуации. </w:t>
      </w:r>
    </w:p>
    <w:p w:rsidR="002B141E" w:rsidRPr="005067F6" w:rsidRDefault="002B141E" w:rsidP="005067F6">
      <w:pPr>
        <w:pStyle w:val="34"/>
        <w:spacing w:after="0"/>
        <w:ind w:left="0" w:firstLine="540"/>
        <w:jc w:val="both"/>
        <w:rPr>
          <w:sz w:val="28"/>
          <w:szCs w:val="28"/>
        </w:rPr>
      </w:pPr>
      <w:r w:rsidRPr="005067F6">
        <w:rPr>
          <w:sz w:val="28"/>
          <w:szCs w:val="28"/>
        </w:rPr>
        <w:t>На конец отчетного периода в Ногликском центре занятости населения состояло на учете в качестве безработных 40 человек.</w:t>
      </w:r>
    </w:p>
    <w:p w:rsidR="002B141E" w:rsidRPr="005067F6" w:rsidRDefault="002B141E" w:rsidP="005067F6">
      <w:pPr>
        <w:pStyle w:val="34"/>
        <w:spacing w:after="0"/>
        <w:ind w:left="0" w:firstLine="540"/>
        <w:jc w:val="both"/>
        <w:rPr>
          <w:color w:val="FF0000"/>
          <w:sz w:val="28"/>
          <w:szCs w:val="28"/>
        </w:rPr>
      </w:pPr>
      <w:r w:rsidRPr="005067F6">
        <w:rPr>
          <w:sz w:val="28"/>
          <w:szCs w:val="28"/>
        </w:rPr>
        <w:t>Уровень регистрируемой безработицы на конец отчетного периода понизился к показателю аналогичного периода прошлого года и составил 0,5%.</w:t>
      </w:r>
      <w:r w:rsidRPr="005067F6">
        <w:rPr>
          <w:color w:val="FF0000"/>
          <w:sz w:val="28"/>
          <w:szCs w:val="28"/>
        </w:rPr>
        <w:t xml:space="preserve"> </w:t>
      </w:r>
    </w:p>
    <w:p w:rsidR="002B141E" w:rsidRPr="005067F6" w:rsidRDefault="002B141E" w:rsidP="002B141E">
      <w:pPr>
        <w:pStyle w:val="34"/>
        <w:spacing w:after="0"/>
        <w:ind w:left="0" w:firstLine="540"/>
        <w:jc w:val="both"/>
        <w:rPr>
          <w:color w:val="FF0000"/>
          <w:sz w:val="28"/>
          <w:szCs w:val="28"/>
        </w:rPr>
      </w:pPr>
    </w:p>
    <w:p w:rsidR="002B141E" w:rsidRPr="007113ED" w:rsidRDefault="002B141E" w:rsidP="002B141E">
      <w:pPr>
        <w:ind w:right="-93" w:firstLine="56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>Уровень регистрируемой безработицы, %</w:t>
      </w:r>
    </w:p>
    <w:p w:rsidR="002B141E" w:rsidRPr="007113ED" w:rsidRDefault="002B141E" w:rsidP="002B141E">
      <w:pPr>
        <w:ind w:right="-93" w:firstLine="56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B141E" w:rsidRPr="007113ED" w:rsidRDefault="002B141E" w:rsidP="002B141E">
      <w:pPr>
        <w:ind w:right="-93" w:firstLine="561"/>
        <w:jc w:val="both"/>
        <w:rPr>
          <w:rFonts w:ascii="Times New Roman" w:hAnsi="Times New Roman" w:cs="Times New Roman"/>
          <w:sz w:val="26"/>
          <w:szCs w:val="26"/>
        </w:rPr>
      </w:pPr>
      <w:r w:rsidRPr="007113ED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600700" cy="24003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B141E" w:rsidRPr="007113ED" w:rsidRDefault="007113ED" w:rsidP="007113ED">
      <w:pPr>
        <w:pStyle w:val="34"/>
        <w:spacing w:after="0"/>
        <w:ind w:left="0"/>
        <w:jc w:val="center"/>
        <w:rPr>
          <w:i/>
          <w:sz w:val="22"/>
          <w:szCs w:val="22"/>
        </w:rPr>
      </w:pPr>
      <w:r w:rsidRPr="007113ED">
        <w:rPr>
          <w:i/>
          <w:sz w:val="22"/>
          <w:szCs w:val="22"/>
        </w:rPr>
        <w:t>Рисунок 3</w:t>
      </w:r>
    </w:p>
    <w:p w:rsidR="002B141E" w:rsidRPr="007113ED" w:rsidRDefault="002B141E" w:rsidP="007113ED">
      <w:pPr>
        <w:ind w:right="-93"/>
        <w:jc w:val="both"/>
        <w:rPr>
          <w:rFonts w:ascii="Times New Roman" w:hAnsi="Times New Roman" w:cs="Times New Roman"/>
          <w:sz w:val="26"/>
          <w:szCs w:val="26"/>
        </w:rPr>
      </w:pPr>
    </w:p>
    <w:p w:rsidR="002B141E" w:rsidRPr="005067F6" w:rsidRDefault="002B141E" w:rsidP="002B141E">
      <w:pPr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Число граждан, обратившихся в течение года за содействием в поиске подходящей работы, составило 758 человек. По сравнению с аналогичным периодом 2015 года это на 17 человек меньше (2015 год – 775 человек). Из общего числа обратившихся 310 человек – несовершеннолетние (ученики средних общеобразовательных школ городского округа). </w:t>
      </w:r>
    </w:p>
    <w:p w:rsidR="002B141E" w:rsidRPr="005067F6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Число трудоустроенных граждан в 2016 году составило 607 человек -  это 80% к числу обратившихся, что соответствует показателю 2015 года. Практика показывает, что заявленные вакансии на неквалифицированные работы заполняются быстро. Это обуславливается низким профессиональным уровнем большинства безработных, состоящих на учете. </w:t>
      </w: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В течение года из общего числа обратившихся 178 человек признаны безработными. Из них 98 мужчины (или 55%). Термин «женская безработица» постепенно утрачивает свою актуальность.</w:t>
      </w: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В структурном составе безработных, зарегистрированных в Центре занятости населения Ногликского района, наибольшее число безработных – это люди, впервые ищущие работу и наработавшие ранее, а также длительно неработающие (неработающие более года).</w:t>
      </w: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В 2016 году увеличилось число граждан, увольняемых с предприятий в связи с сокращением штатов. В течение года руководители 14 предприятий направили заявки в службу занятости о предполагаемых сокращениях. Предполагалось высвободить 54 человек (в 2015 году – 46 человек).</w:t>
      </w:r>
      <w:r w:rsidRPr="005067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67F6">
        <w:rPr>
          <w:rFonts w:ascii="Times New Roman" w:hAnsi="Times New Roman" w:cs="Times New Roman"/>
          <w:sz w:val="28"/>
          <w:szCs w:val="28"/>
        </w:rPr>
        <w:t>46% увольнений в связи с сокращением (25 человек) было заявлено МУП «Водоканал». Причинами принятия решений об увольнении работников явились: оптимизация производственных процессов, численности работников и другие.</w:t>
      </w: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В 2016 году предприятиями в службу занятости населения заявлено 690 вакансий. Однако, как показывает практика, перечень необходимых предприятиям профессий значительно отличается от профессионального состава большинства безработных, обращающихся в службу занятости.</w:t>
      </w:r>
    </w:p>
    <w:p w:rsidR="002B141E" w:rsidRPr="005067F6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Для рынка труда характерна тенденция сохраняющегося разрыва между регистрируемой и общей безработицей. Для недопущения социальной напряженности на рынке труда в 2016 году в рамках муниципальной программы были реализованы мероприятия по организации оплачиваемых общественных работ. В результате исполнения данной программы 22 человека были обеспечены работой. </w:t>
      </w:r>
    </w:p>
    <w:p w:rsidR="002B141E" w:rsidRPr="005067F6" w:rsidRDefault="002B141E" w:rsidP="002B141E">
      <w:pPr>
        <w:pStyle w:val="34"/>
        <w:spacing w:after="0"/>
        <w:ind w:left="0" w:firstLine="540"/>
        <w:jc w:val="both"/>
        <w:rPr>
          <w:color w:val="FF0000"/>
          <w:sz w:val="28"/>
          <w:szCs w:val="28"/>
        </w:rPr>
      </w:pPr>
    </w:p>
    <w:p w:rsidR="002B141E" w:rsidRPr="005067F6" w:rsidRDefault="002B141E" w:rsidP="005067F6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7F6">
        <w:rPr>
          <w:rFonts w:ascii="Times New Roman" w:hAnsi="Times New Roman" w:cs="Times New Roman"/>
          <w:b/>
          <w:sz w:val="28"/>
          <w:szCs w:val="28"/>
        </w:rPr>
        <w:t>Уровень жизни и доходы населения</w:t>
      </w:r>
    </w:p>
    <w:p w:rsidR="002B141E" w:rsidRPr="005067F6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>В 2016 году удалось не допустить снижения уровня доходов населения муниципального образования, а также его покупательной способности.</w:t>
      </w:r>
    </w:p>
    <w:p w:rsidR="002B141E" w:rsidRPr="005067F6" w:rsidRDefault="002B141E" w:rsidP="005067F6">
      <w:pPr>
        <w:widowControl w:val="0"/>
        <w:adjustRightInd w:val="0"/>
        <w:spacing w:after="0"/>
        <w:ind w:firstLine="7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lastRenderedPageBreak/>
        <w:t xml:space="preserve">Под особый контроль взяты вопросы по соблюдению сроков выплаты заработной платы работникам, выявление работодателей, уклоняющихся от оформления трудовых отношений с работниками, использующих «серые» схемы выплаты заработной платы.  Для выявления случаев задолженности по выплате заработной платы и нарушения прав работников в администрации городского округа создана и действует телефонная «горячая линия». </w:t>
      </w:r>
    </w:p>
    <w:p w:rsidR="002B141E" w:rsidRPr="005067F6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Наиболее верным отражением результатов работы экономики муниципального образования является динамика показателей, характеризующих уровень жизни населения. </w:t>
      </w:r>
    </w:p>
    <w:p w:rsidR="002B141E" w:rsidRPr="005067F6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Основным показателем уровня жизни являются доходы населения, в </w:t>
      </w:r>
      <w:proofErr w:type="gramStart"/>
      <w:r w:rsidRPr="005067F6">
        <w:rPr>
          <w:rFonts w:ascii="Times New Roman" w:hAnsi="Times New Roman" w:cs="Times New Roman"/>
          <w:sz w:val="28"/>
          <w:szCs w:val="28"/>
        </w:rPr>
        <w:t>которых  главной</w:t>
      </w:r>
      <w:proofErr w:type="gramEnd"/>
      <w:r w:rsidRPr="005067F6">
        <w:rPr>
          <w:rFonts w:ascii="Times New Roman" w:hAnsi="Times New Roman" w:cs="Times New Roman"/>
          <w:sz w:val="28"/>
          <w:szCs w:val="28"/>
        </w:rPr>
        <w:t xml:space="preserve"> составляющей остается  оплата труда работников.</w:t>
      </w:r>
    </w:p>
    <w:p w:rsidR="002B141E" w:rsidRPr="005067F6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В 2016 году среднемесячная номинальная заработная плата на одного работающего по полному кругу организаций муниципального образования   составила 113,6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(в 2015 году – 101,4 тыс. рублей). Без учета организаций, работающих на шельфовых проектах, величина среднемесячной заработной платы равна 59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>.</w:t>
      </w:r>
    </w:p>
    <w:p w:rsidR="002B141E" w:rsidRPr="005067F6" w:rsidRDefault="002B141E" w:rsidP="005067F6">
      <w:pPr>
        <w:keepNext/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В соответствии с Указом Президента Российской Федерации от 7 мая 2012 года № 597 «О мероприятиях по реализации государственной социальной политики» в муниципальном </w:t>
      </w:r>
      <w:proofErr w:type="gramStart"/>
      <w:r w:rsidRPr="005067F6">
        <w:rPr>
          <w:rFonts w:ascii="Times New Roman" w:hAnsi="Times New Roman" w:cs="Times New Roman"/>
          <w:sz w:val="28"/>
          <w:szCs w:val="28"/>
        </w:rPr>
        <w:t>образовании  реализуются</w:t>
      </w:r>
      <w:proofErr w:type="gramEnd"/>
      <w:r w:rsidRPr="005067F6">
        <w:rPr>
          <w:rFonts w:ascii="Times New Roman" w:hAnsi="Times New Roman" w:cs="Times New Roman"/>
          <w:sz w:val="28"/>
          <w:szCs w:val="28"/>
        </w:rPr>
        <w:t xml:space="preserve"> меры по поэтапному достижению целевых ориентиров повышения заработной платы отдельных категорий работников.</w:t>
      </w:r>
    </w:p>
    <w:p w:rsidR="002B141E" w:rsidRPr="005067F6" w:rsidRDefault="002B141E" w:rsidP="005067F6">
      <w:pPr>
        <w:keepNext/>
        <w:widowControl w:val="0"/>
        <w:spacing w:after="0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В результате по итогам 2016 года среднемесячная заработная плата работников бюджетных организаций составила 46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. Средняя заработная плата </w:t>
      </w:r>
      <w:r w:rsidRPr="005067F6">
        <w:rPr>
          <w:rFonts w:ascii="Times New Roman" w:hAnsi="Times New Roman" w:cs="Times New Roman"/>
          <w:i/>
          <w:sz w:val="28"/>
          <w:szCs w:val="28"/>
        </w:rPr>
        <w:t>учителя</w:t>
      </w:r>
      <w:r w:rsidRPr="005067F6">
        <w:rPr>
          <w:rFonts w:ascii="Times New Roman" w:hAnsi="Times New Roman" w:cs="Times New Roman"/>
          <w:sz w:val="28"/>
          <w:szCs w:val="28"/>
        </w:rPr>
        <w:t xml:space="preserve"> составила 63,8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>. Это 98% к средней зарплате, сложившейся в Сахалинской области за 2016 год.</w:t>
      </w:r>
      <w:r w:rsidRPr="005067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67F6">
        <w:rPr>
          <w:rFonts w:ascii="Times New Roman" w:hAnsi="Times New Roman" w:cs="Times New Roman"/>
          <w:sz w:val="28"/>
          <w:szCs w:val="28"/>
        </w:rPr>
        <w:t xml:space="preserve">Педагогические работники </w:t>
      </w:r>
      <w:r w:rsidRPr="005067F6">
        <w:rPr>
          <w:rFonts w:ascii="Times New Roman" w:hAnsi="Times New Roman" w:cs="Times New Roman"/>
          <w:i/>
          <w:sz w:val="28"/>
          <w:szCs w:val="28"/>
        </w:rPr>
        <w:t>дошкольных</w:t>
      </w:r>
      <w:r w:rsidRPr="005067F6">
        <w:rPr>
          <w:rFonts w:ascii="Times New Roman" w:hAnsi="Times New Roman" w:cs="Times New Roman"/>
          <w:sz w:val="28"/>
          <w:szCs w:val="28"/>
        </w:rPr>
        <w:t xml:space="preserve"> образовательных учреждений имели среднюю заработную плату в размере 51,7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(79% к средней зарплате по субъекту), а педагогические работники учреждений </w:t>
      </w:r>
      <w:r w:rsidRPr="005067F6">
        <w:rPr>
          <w:rFonts w:ascii="Times New Roman" w:hAnsi="Times New Roman" w:cs="Times New Roman"/>
          <w:i/>
          <w:sz w:val="28"/>
          <w:szCs w:val="28"/>
        </w:rPr>
        <w:t>дополнительного образования</w:t>
      </w:r>
      <w:r w:rsidRPr="005067F6">
        <w:rPr>
          <w:rFonts w:ascii="Times New Roman" w:hAnsi="Times New Roman" w:cs="Times New Roman"/>
          <w:sz w:val="28"/>
          <w:szCs w:val="28"/>
        </w:rPr>
        <w:t xml:space="preserve"> – 58,4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(90% к средней зарплате по субъекту). Уровень начисленной заработной платы работников учреждений культуры составил 42,5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или 65% к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среднеобластному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показателю.</w:t>
      </w:r>
      <w:r w:rsidRPr="005067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B141E" w:rsidRPr="005067F6" w:rsidRDefault="002B141E" w:rsidP="005067F6">
      <w:pPr>
        <w:keepNext/>
        <w:widowControl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Среднемесячная заработная плата работников медицинских работников составила 55,7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5067F6">
        <w:rPr>
          <w:rFonts w:ascii="Times New Roman" w:hAnsi="Times New Roman" w:cs="Times New Roman"/>
          <w:i/>
          <w:sz w:val="28"/>
          <w:szCs w:val="28"/>
        </w:rPr>
        <w:t xml:space="preserve">врачей – </w:t>
      </w:r>
      <w:r w:rsidRPr="005067F6">
        <w:rPr>
          <w:rFonts w:ascii="Times New Roman" w:hAnsi="Times New Roman" w:cs="Times New Roman"/>
          <w:sz w:val="28"/>
          <w:szCs w:val="28"/>
        </w:rPr>
        <w:t xml:space="preserve">99,7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, </w:t>
      </w:r>
      <w:r w:rsidRPr="005067F6">
        <w:rPr>
          <w:rFonts w:ascii="Times New Roman" w:hAnsi="Times New Roman" w:cs="Times New Roman"/>
          <w:i/>
          <w:sz w:val="28"/>
          <w:szCs w:val="28"/>
        </w:rPr>
        <w:t xml:space="preserve">среднего медицинского персонала – </w:t>
      </w:r>
      <w:r w:rsidRPr="005067F6">
        <w:rPr>
          <w:rFonts w:ascii="Times New Roman" w:hAnsi="Times New Roman" w:cs="Times New Roman"/>
          <w:sz w:val="28"/>
          <w:szCs w:val="28"/>
        </w:rPr>
        <w:t xml:space="preserve">58,7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, </w:t>
      </w:r>
      <w:r w:rsidRPr="005067F6">
        <w:rPr>
          <w:rFonts w:ascii="Times New Roman" w:hAnsi="Times New Roman" w:cs="Times New Roman"/>
          <w:i/>
          <w:sz w:val="28"/>
          <w:szCs w:val="28"/>
        </w:rPr>
        <w:t xml:space="preserve">младшего медперсонала – </w:t>
      </w:r>
      <w:r w:rsidRPr="005067F6">
        <w:rPr>
          <w:rFonts w:ascii="Times New Roman" w:hAnsi="Times New Roman" w:cs="Times New Roman"/>
          <w:sz w:val="28"/>
          <w:szCs w:val="28"/>
        </w:rPr>
        <w:t xml:space="preserve">38,9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>.</w:t>
      </w:r>
    </w:p>
    <w:p w:rsidR="002B141E" w:rsidRPr="005067F6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067F6">
        <w:rPr>
          <w:rFonts w:ascii="Times New Roman" w:hAnsi="Times New Roman" w:cs="Times New Roman"/>
          <w:sz w:val="28"/>
          <w:szCs w:val="28"/>
        </w:rPr>
        <w:t xml:space="preserve">По оценке, среднемесячный доход на душу населения в 2016 году составил 47,5 </w:t>
      </w:r>
      <w:proofErr w:type="spellStart"/>
      <w:r w:rsidRPr="005067F6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Pr="005067F6">
        <w:rPr>
          <w:rFonts w:ascii="Times New Roman" w:hAnsi="Times New Roman" w:cs="Times New Roman"/>
          <w:sz w:val="28"/>
          <w:szCs w:val="28"/>
        </w:rPr>
        <w:t xml:space="preserve"> и увеличился к уровню 2015 года на 5,6%.</w:t>
      </w:r>
      <w:r w:rsidRPr="005067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67F6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Pr="005067F6">
        <w:rPr>
          <w:rFonts w:ascii="Times New Roman" w:hAnsi="Times New Roman" w:cs="Times New Roman"/>
          <w:i/>
          <w:sz w:val="28"/>
          <w:szCs w:val="28"/>
        </w:rPr>
        <w:t>реальный размер</w:t>
      </w:r>
      <w:r w:rsidRPr="005067F6">
        <w:rPr>
          <w:rFonts w:ascii="Times New Roman" w:hAnsi="Times New Roman" w:cs="Times New Roman"/>
          <w:sz w:val="28"/>
          <w:szCs w:val="28"/>
        </w:rPr>
        <w:t xml:space="preserve"> среднедушевого дохода практически не изменился.</w:t>
      </w:r>
      <w:r w:rsidRPr="005067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067F6">
        <w:rPr>
          <w:rFonts w:ascii="Times New Roman" w:hAnsi="Times New Roman" w:cs="Times New Roman"/>
          <w:sz w:val="28"/>
          <w:szCs w:val="28"/>
        </w:rPr>
        <w:t>Достигнутый уровень денежных доходов превысил величину прожиточного минимума в области в 3,3 раза.</w:t>
      </w:r>
    </w:p>
    <w:p w:rsidR="002B141E" w:rsidRPr="007113ED" w:rsidRDefault="002B141E" w:rsidP="002B141E">
      <w:pPr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113ED">
        <w:rPr>
          <w:rFonts w:ascii="Times New Roman" w:hAnsi="Times New Roman" w:cs="Times New Roman"/>
          <w:color w:val="FF0000"/>
          <w:sz w:val="26"/>
          <w:szCs w:val="26"/>
        </w:rPr>
        <w:lastRenderedPageBreak/>
        <w:t xml:space="preserve"> </w:t>
      </w:r>
      <w:r w:rsidRPr="007113ED">
        <w:rPr>
          <w:rFonts w:ascii="Times New Roman" w:hAnsi="Times New Roman" w:cs="Times New Roman"/>
          <w:color w:val="FF0000"/>
          <w:sz w:val="26"/>
          <w:szCs w:val="26"/>
        </w:rPr>
        <w:object w:dxaOrig="9349" w:dyaOrig="4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0.4pt" o:ole="">
            <v:imagedata r:id="rId10" o:title=""/>
          </v:shape>
          <o:OLEObject Type="Embed" ProgID="MSGraph.Chart.8" ShapeID="_x0000_i1025" DrawAspect="Content" ObjectID="_1572254658" r:id="rId11">
            <o:FieldCodes>\s</o:FieldCodes>
          </o:OLEObject>
        </w:object>
      </w:r>
    </w:p>
    <w:p w:rsidR="002B141E" w:rsidRPr="007113ED" w:rsidRDefault="002B141E" w:rsidP="002B141E">
      <w:pPr>
        <w:pStyle w:val="34"/>
        <w:spacing w:after="0"/>
        <w:ind w:left="0" w:firstLine="540"/>
        <w:jc w:val="center"/>
        <w:rPr>
          <w:i/>
          <w:sz w:val="22"/>
          <w:szCs w:val="22"/>
        </w:rPr>
      </w:pPr>
      <w:proofErr w:type="gramStart"/>
      <w:r w:rsidRPr="007113ED">
        <w:rPr>
          <w:i/>
          <w:sz w:val="22"/>
          <w:szCs w:val="22"/>
        </w:rPr>
        <w:t>Рис</w:t>
      </w:r>
      <w:r w:rsidR="007113ED">
        <w:rPr>
          <w:i/>
          <w:sz w:val="22"/>
          <w:szCs w:val="22"/>
        </w:rPr>
        <w:t xml:space="preserve">унок </w:t>
      </w:r>
      <w:r w:rsidRPr="007113ED">
        <w:rPr>
          <w:i/>
          <w:sz w:val="22"/>
          <w:szCs w:val="22"/>
        </w:rPr>
        <w:t xml:space="preserve"> 4</w:t>
      </w:r>
      <w:proofErr w:type="gramEnd"/>
    </w:p>
    <w:p w:rsidR="007113ED" w:rsidRDefault="007113ED" w:rsidP="002B141E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2B141E" w:rsidRPr="009973CE" w:rsidRDefault="002B141E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Согласно данным службы государственной статистики задолженность по выплате заработной платы на 01.01.17 отсутствует.   </w:t>
      </w:r>
    </w:p>
    <w:p w:rsidR="002B141E" w:rsidRPr="009973CE" w:rsidRDefault="002B141E" w:rsidP="005067F6">
      <w:pPr>
        <w:spacing w:after="0"/>
        <w:ind w:right="-93" w:firstLine="56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9973CE">
        <w:rPr>
          <w:rFonts w:ascii="Times New Roman" w:hAnsi="Times New Roman" w:cs="Times New Roman"/>
          <w:i/>
          <w:sz w:val="28"/>
          <w:szCs w:val="28"/>
        </w:rPr>
        <w:t>пенсионного обеспечения</w:t>
      </w:r>
      <w:r w:rsidRPr="009973CE">
        <w:rPr>
          <w:rFonts w:ascii="Times New Roman" w:hAnsi="Times New Roman" w:cs="Times New Roman"/>
          <w:sz w:val="28"/>
          <w:szCs w:val="28"/>
        </w:rPr>
        <w:t xml:space="preserve"> главной задачей является повышение уровня жизни пенсионеров. В структуре населения муниципального образования пенсионеры составляют весьма солидную долю — их 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численность  по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состоянию на 01.01.2017 года составляет 4 042 человека (35,7% в общей численности населения).</w:t>
      </w:r>
      <w:r w:rsidRPr="009973CE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2B141E" w:rsidRPr="009973CE" w:rsidRDefault="002B141E" w:rsidP="00506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bCs/>
          <w:sz w:val="28"/>
          <w:szCs w:val="28"/>
        </w:rPr>
        <w:t>За январь - декабрь 2016 года</w:t>
      </w:r>
      <w:r w:rsidRPr="009973CE">
        <w:rPr>
          <w:rFonts w:ascii="Times New Roman" w:hAnsi="Times New Roman" w:cs="Times New Roman"/>
          <w:sz w:val="28"/>
          <w:szCs w:val="28"/>
        </w:rPr>
        <w:t xml:space="preserve"> н</w:t>
      </w:r>
      <w:r w:rsidRPr="009973CE">
        <w:rPr>
          <w:rFonts w:ascii="Times New Roman" w:hAnsi="Times New Roman" w:cs="Times New Roman"/>
          <w:bCs/>
          <w:sz w:val="28"/>
          <w:szCs w:val="28"/>
        </w:rPr>
        <w:t>а пенсионное обеспечение жителям муниципального образования</w:t>
      </w:r>
      <w:r w:rsidRPr="009973CE">
        <w:rPr>
          <w:rFonts w:ascii="Times New Roman" w:hAnsi="Times New Roman" w:cs="Times New Roman"/>
          <w:sz w:val="28"/>
          <w:szCs w:val="28"/>
        </w:rPr>
        <w:t xml:space="preserve"> было направлено 961,1 млн. руб. С</w:t>
      </w:r>
      <w:r w:rsidRPr="009973CE">
        <w:rPr>
          <w:rFonts w:ascii="Times New Roman" w:hAnsi="Times New Roman" w:cs="Times New Roman"/>
          <w:bCs/>
          <w:sz w:val="28"/>
          <w:szCs w:val="28"/>
        </w:rPr>
        <w:t xml:space="preserve">редний размер пенсии на 01.01.2017 года составил 19,8 </w:t>
      </w:r>
      <w:proofErr w:type="spellStart"/>
      <w:r w:rsidRPr="009973CE">
        <w:rPr>
          <w:rFonts w:ascii="Times New Roman" w:hAnsi="Times New Roman" w:cs="Times New Roman"/>
          <w:bCs/>
          <w:sz w:val="28"/>
          <w:szCs w:val="28"/>
        </w:rPr>
        <w:t>тыс.рублей</w:t>
      </w:r>
      <w:proofErr w:type="spellEnd"/>
      <w:r w:rsidRPr="009973CE">
        <w:rPr>
          <w:rFonts w:ascii="Times New Roman" w:hAnsi="Times New Roman" w:cs="Times New Roman"/>
          <w:bCs/>
          <w:sz w:val="28"/>
          <w:szCs w:val="28"/>
        </w:rPr>
        <w:t xml:space="preserve"> и вырос по сравнению с аналогичным периодом прошлого года на 2,8</w:t>
      </w:r>
      <w:proofErr w:type="gramStart"/>
      <w:r w:rsidRPr="009973CE">
        <w:rPr>
          <w:rFonts w:ascii="Times New Roman" w:hAnsi="Times New Roman" w:cs="Times New Roman"/>
          <w:bCs/>
          <w:sz w:val="28"/>
          <w:szCs w:val="28"/>
        </w:rPr>
        <w:t>% .</w:t>
      </w:r>
      <w:proofErr w:type="gramEnd"/>
    </w:p>
    <w:p w:rsidR="002B141E" w:rsidRPr="007113ED" w:rsidRDefault="002B141E" w:rsidP="002B141E">
      <w:pPr>
        <w:ind w:right="-93" w:firstLine="561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7113ED" w:rsidRPr="009973CE" w:rsidRDefault="007113ED" w:rsidP="007113ED">
      <w:pPr>
        <w:ind w:firstLine="5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3CE">
        <w:rPr>
          <w:rFonts w:ascii="Times New Roman" w:hAnsi="Times New Roman" w:cs="Times New Roman"/>
          <w:b/>
          <w:sz w:val="28"/>
          <w:szCs w:val="28"/>
        </w:rPr>
        <w:t>Реальный сектор экономики</w:t>
      </w:r>
    </w:p>
    <w:p w:rsidR="007113ED" w:rsidRPr="009973CE" w:rsidRDefault="007113ED" w:rsidP="009973CE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b/>
          <w:i/>
          <w:sz w:val="28"/>
          <w:szCs w:val="28"/>
        </w:rPr>
        <w:t>Объем отгруженных товаров собственного производства, выполненных работ и услуг собственными силами</w:t>
      </w:r>
      <w:r w:rsidRPr="009973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 xml:space="preserve">в 2016 году снизился и составил 91,8 процентов к уровню прошлого года или 349,1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млрд.рублей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в стоимостном выражении.</w:t>
      </w:r>
    </w:p>
    <w:p w:rsidR="007113ED" w:rsidRPr="009973CE" w:rsidRDefault="007113ED" w:rsidP="009973CE">
      <w:pPr>
        <w:spacing w:after="0"/>
        <w:ind w:firstLine="561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Как и в предыдущие годы, за муниципальным образованием сохранилась лидирующая позиция в формировании совокупного объема промышленного производства Сахалинской области. В 2016 году доля муниципального образования в объеме промышленного производства области составила 50,8 процентов.</w:t>
      </w:r>
    </w:p>
    <w:p w:rsidR="007113ED" w:rsidRDefault="007113ED" w:rsidP="007113ED">
      <w:pPr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113ED" w:rsidRDefault="007113ED" w:rsidP="007113ED">
      <w:pPr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113ED" w:rsidRPr="007113ED" w:rsidRDefault="007113ED" w:rsidP="007113ED">
      <w:pPr>
        <w:spacing w:after="0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 xml:space="preserve">Объем отгруженных товаров (работ, услуг) </w:t>
      </w:r>
    </w:p>
    <w:p w:rsidR="007113ED" w:rsidRPr="007113ED" w:rsidRDefault="007113ED" w:rsidP="007113ED">
      <w:pPr>
        <w:spacing w:after="0"/>
        <w:ind w:firstLine="72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 xml:space="preserve">собственного производства МО «Городской округ Ногликский» </w:t>
      </w:r>
    </w:p>
    <w:p w:rsidR="007113ED" w:rsidRPr="007113ED" w:rsidRDefault="007113ED" w:rsidP="007113ED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 xml:space="preserve"> в объеме промышленного </w:t>
      </w:r>
      <w:proofErr w:type="gramStart"/>
      <w:r w:rsidRPr="007113ED">
        <w:rPr>
          <w:rFonts w:ascii="Times New Roman" w:hAnsi="Times New Roman" w:cs="Times New Roman"/>
          <w:b/>
          <w:sz w:val="26"/>
          <w:szCs w:val="26"/>
        </w:rPr>
        <w:t>производства  Сахалинской</w:t>
      </w:r>
      <w:proofErr w:type="gramEnd"/>
      <w:r w:rsidRPr="007113ED">
        <w:rPr>
          <w:rFonts w:ascii="Times New Roman" w:hAnsi="Times New Roman" w:cs="Times New Roman"/>
          <w:b/>
          <w:sz w:val="26"/>
          <w:szCs w:val="26"/>
        </w:rPr>
        <w:t xml:space="preserve"> области </w:t>
      </w:r>
    </w:p>
    <w:p w:rsidR="007113ED" w:rsidRPr="007113ED" w:rsidRDefault="007113ED" w:rsidP="007113ED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13ED">
        <w:rPr>
          <w:rFonts w:ascii="Times New Roman" w:hAnsi="Times New Roman" w:cs="Times New Roman"/>
          <w:b/>
          <w:sz w:val="26"/>
          <w:szCs w:val="26"/>
        </w:rPr>
        <w:t>в 2010-2016 гг. (</w:t>
      </w:r>
      <w:proofErr w:type="spellStart"/>
      <w:r w:rsidRPr="007113ED">
        <w:rPr>
          <w:rFonts w:ascii="Times New Roman" w:hAnsi="Times New Roman" w:cs="Times New Roman"/>
          <w:b/>
          <w:sz w:val="26"/>
          <w:szCs w:val="26"/>
        </w:rPr>
        <w:t>млрд.рублей</w:t>
      </w:r>
      <w:proofErr w:type="spellEnd"/>
      <w:r w:rsidRPr="007113ED">
        <w:rPr>
          <w:rFonts w:ascii="Times New Roman" w:hAnsi="Times New Roman" w:cs="Times New Roman"/>
          <w:b/>
          <w:sz w:val="26"/>
          <w:szCs w:val="26"/>
        </w:rPr>
        <w:t>)</w:t>
      </w:r>
    </w:p>
    <w:p w:rsidR="007113ED" w:rsidRPr="007113ED" w:rsidRDefault="007113ED" w:rsidP="007113ED">
      <w:pPr>
        <w:spacing w:after="0"/>
        <w:ind w:firstLine="561"/>
        <w:jc w:val="both"/>
        <w:rPr>
          <w:rFonts w:ascii="Times New Roman" w:hAnsi="Times New Roman" w:cs="Times New Roman"/>
          <w:sz w:val="26"/>
          <w:szCs w:val="26"/>
        </w:rPr>
      </w:pPr>
    </w:p>
    <w:p w:rsidR="007113ED" w:rsidRPr="007113ED" w:rsidRDefault="007113ED" w:rsidP="007113ED">
      <w:pPr>
        <w:ind w:firstLine="561"/>
        <w:jc w:val="both"/>
        <w:rPr>
          <w:rFonts w:ascii="Times New Roman" w:hAnsi="Times New Roman" w:cs="Times New Roman"/>
          <w:sz w:val="26"/>
          <w:szCs w:val="26"/>
        </w:rPr>
      </w:pPr>
      <w:r w:rsidRPr="007113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53125" cy="3343275"/>
            <wp:effectExtent l="0" t="0" r="0" b="0"/>
            <wp:docPr id="7" name="Диаграмм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13ED" w:rsidRPr="007113ED" w:rsidRDefault="007113ED" w:rsidP="007113ED">
      <w:pPr>
        <w:ind w:firstLine="709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 5</w:t>
      </w:r>
    </w:p>
    <w:p w:rsidR="007113ED" w:rsidRDefault="007113ED" w:rsidP="007113E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113ED" w:rsidRPr="009973CE" w:rsidRDefault="007113ED" w:rsidP="007113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Основные параметры развития промышленности муниципального образования, традиционно определяются развитием </w:t>
      </w:r>
      <w:r w:rsidRPr="009973C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нефтедобывающей отрасли</w:t>
      </w:r>
      <w:r w:rsidRPr="009973C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973CE">
        <w:rPr>
          <w:rFonts w:ascii="Times New Roman" w:hAnsi="Times New Roman" w:cs="Times New Roman"/>
          <w:sz w:val="28"/>
          <w:szCs w:val="28"/>
        </w:rPr>
        <w:t xml:space="preserve">  Удельный вес отрасли в объемах промышленного производства городского округа составляет 99,7 процента.</w:t>
      </w:r>
    </w:p>
    <w:p w:rsidR="007113ED" w:rsidRPr="009973CE" w:rsidRDefault="007113ED" w:rsidP="007113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В 2016 году в отрасли отмечено снижение объемов производства в стоимостном выражении к уровню прошлого года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на  8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,2 процента. </w:t>
      </w:r>
      <w:r w:rsidRPr="009973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113ED" w:rsidRPr="009973CE" w:rsidRDefault="007113ED" w:rsidP="007113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В натуральном выражении объемы добычи углеводородного сырья к уровню 2015 года возросли и составили:</w:t>
      </w:r>
    </w:p>
    <w:p w:rsidR="007113ED" w:rsidRPr="009973CE" w:rsidRDefault="007113ED" w:rsidP="007113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- нефть, включая газовый конденсат – 108,5 процентов;</w:t>
      </w:r>
    </w:p>
    <w:p w:rsidR="007113ED" w:rsidRPr="009973CE" w:rsidRDefault="007113ED" w:rsidP="007113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газ природный и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попутный  -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104,1 процента.</w:t>
      </w:r>
    </w:p>
    <w:p w:rsidR="007113ED" w:rsidRPr="009973CE" w:rsidRDefault="007113ED" w:rsidP="007113E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Динамика добычи нефти и газа представлена на диаграмме</w:t>
      </w:r>
      <w:r w:rsidR="009973CE">
        <w:rPr>
          <w:rFonts w:ascii="Times New Roman" w:hAnsi="Times New Roman" w:cs="Times New Roman"/>
          <w:sz w:val="28"/>
          <w:szCs w:val="28"/>
        </w:rPr>
        <w:t>.</w:t>
      </w:r>
    </w:p>
    <w:p w:rsidR="007113ED" w:rsidRPr="007113ED" w:rsidRDefault="007113ED" w:rsidP="007113ED">
      <w:pPr>
        <w:jc w:val="center"/>
        <w:rPr>
          <w:rFonts w:ascii="Times New Roman" w:hAnsi="Times New Roman" w:cs="Times New Roman"/>
          <w:color w:val="0000FF"/>
          <w:sz w:val="26"/>
          <w:szCs w:val="26"/>
        </w:rPr>
      </w:pPr>
      <w:r w:rsidRPr="007113ED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29375" cy="4562475"/>
            <wp:effectExtent l="0" t="0" r="0" b="0"/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113ED" w:rsidRPr="007113ED" w:rsidRDefault="007113ED" w:rsidP="007113ED">
      <w:pPr>
        <w:ind w:firstLine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 6</w:t>
      </w:r>
    </w:p>
    <w:p w:rsidR="007113ED" w:rsidRDefault="007113ED" w:rsidP="007113ED">
      <w:pPr>
        <w:spacing w:after="0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7113ED" w:rsidRPr="009973CE" w:rsidRDefault="007113ED" w:rsidP="007113ED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Объем углеводородов, добыча которых ведется в границах городского округа, более чем на 95 процентов по нефти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и  99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процентов по газу  формируют объемы добычи углеводородов всей Сахалинской области.</w:t>
      </w:r>
    </w:p>
    <w:p w:rsidR="007113ED" w:rsidRPr="009973CE" w:rsidRDefault="007113ED" w:rsidP="00250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Объемы выработки </w:t>
      </w:r>
      <w:r w:rsidRPr="009973CE">
        <w:rPr>
          <w:rFonts w:ascii="Times New Roman" w:hAnsi="Times New Roman" w:cs="Times New Roman"/>
          <w:b/>
          <w:i/>
          <w:sz w:val="28"/>
          <w:szCs w:val="28"/>
        </w:rPr>
        <w:t>энергоресурсов</w:t>
      </w:r>
      <w:r w:rsidRPr="009973CE">
        <w:rPr>
          <w:rFonts w:ascii="Times New Roman" w:hAnsi="Times New Roman" w:cs="Times New Roman"/>
          <w:sz w:val="28"/>
          <w:szCs w:val="28"/>
        </w:rPr>
        <w:t xml:space="preserve"> с учетом их спроса потребителями</w:t>
      </w:r>
      <w:r w:rsidR="00250520" w:rsidRPr="009973CE">
        <w:rPr>
          <w:rFonts w:ascii="Times New Roman" w:hAnsi="Times New Roman" w:cs="Times New Roman"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к уровню 2015 года составили в натуральном выражении:</w:t>
      </w:r>
    </w:p>
    <w:p w:rsidR="007113ED" w:rsidRPr="009973CE" w:rsidRDefault="007113ED" w:rsidP="00250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- по электроэнергии – 115,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9  процентов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>;</w:t>
      </w:r>
    </w:p>
    <w:p w:rsidR="007113ED" w:rsidRPr="009973CE" w:rsidRDefault="007113ED" w:rsidP="00250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по  тепловой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энергии -  90,5 процентов.</w:t>
      </w:r>
    </w:p>
    <w:p w:rsidR="007113ED" w:rsidRPr="007113ED" w:rsidRDefault="007113ED" w:rsidP="007113ED">
      <w:pPr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113ED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5934075" cy="4076700"/>
            <wp:effectExtent l="0" t="0" r="0" b="0"/>
            <wp:docPr id="5" name="Диаграмм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7113ED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6701790" cy="4182110"/>
            <wp:effectExtent l="0" t="0" r="0" b="0"/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113ED" w:rsidRPr="007C537E" w:rsidRDefault="007113ED" w:rsidP="007113ED">
      <w:pPr>
        <w:jc w:val="center"/>
        <w:rPr>
          <w:rFonts w:ascii="Times New Roman" w:hAnsi="Times New Roman" w:cs="Times New Roman"/>
          <w:i/>
        </w:rPr>
      </w:pPr>
      <w:r w:rsidRPr="007C537E">
        <w:rPr>
          <w:rFonts w:ascii="Times New Roman" w:hAnsi="Times New Roman" w:cs="Times New Roman"/>
          <w:i/>
        </w:rPr>
        <w:t>Рисунок 7,8</w:t>
      </w:r>
    </w:p>
    <w:p w:rsidR="007113ED" w:rsidRDefault="007113ED" w:rsidP="007113ED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C537E" w:rsidRDefault="007C537E" w:rsidP="007113ED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lastRenderedPageBreak/>
        <w:t xml:space="preserve">В  </w:t>
      </w:r>
      <w:r w:rsidRPr="009973CE">
        <w:rPr>
          <w:rFonts w:ascii="Times New Roman" w:hAnsi="Times New Roman" w:cs="Times New Roman"/>
          <w:b/>
          <w:i/>
          <w:sz w:val="28"/>
          <w:szCs w:val="28"/>
        </w:rPr>
        <w:t>рыбной</w:t>
      </w:r>
      <w:proofErr w:type="gramEnd"/>
      <w:r w:rsidRPr="009973CE">
        <w:rPr>
          <w:rFonts w:ascii="Times New Roman" w:hAnsi="Times New Roman" w:cs="Times New Roman"/>
          <w:b/>
          <w:i/>
          <w:sz w:val="28"/>
          <w:szCs w:val="28"/>
        </w:rPr>
        <w:t xml:space="preserve">  отрасли</w:t>
      </w:r>
      <w:r w:rsidRPr="009973CE">
        <w:rPr>
          <w:rFonts w:ascii="Times New Roman" w:hAnsi="Times New Roman" w:cs="Times New Roman"/>
          <w:sz w:val="28"/>
          <w:szCs w:val="28"/>
        </w:rPr>
        <w:t xml:space="preserve">  муни</w:t>
      </w:r>
      <w:r w:rsidR="00250520" w:rsidRPr="009973CE">
        <w:rPr>
          <w:rFonts w:ascii="Times New Roman" w:hAnsi="Times New Roman" w:cs="Times New Roman"/>
          <w:sz w:val="28"/>
          <w:szCs w:val="28"/>
        </w:rPr>
        <w:t>ципального образования  работали</w:t>
      </w:r>
      <w:r w:rsidRPr="009973CE">
        <w:rPr>
          <w:rFonts w:ascii="Times New Roman" w:hAnsi="Times New Roman" w:cs="Times New Roman"/>
          <w:sz w:val="28"/>
          <w:szCs w:val="28"/>
        </w:rPr>
        <w:t xml:space="preserve">  26  предприятий, занимающихся  добычей водных  биологических  ресурсов. 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По  информации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полученной  от  предприятий, осуществляющих  добычу  водных  биологических  ресурсов  на  территории  муниципального  образования,  вылов  по  основным   объектам  промысла  сложился  следующим  образом: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горбуша-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доля  горбуши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в  общем  объеме   вылова  за  отчетный  период  75,1 %,  за  путину  добыто  6 651,6 тонны;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кета-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доля  кеты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в  общем  объеме  вылова  за  отчетный  период  составила  15,0 %, за  путину  добыто  1 311,5 тонны;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сельдь-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доля  сельди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в  общем  объеме  вылова  за  отчетный период  составила  6,1 %,   добыто  536,9  тонны сельди.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прочие  виды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водных  биологических  ресурсов-  доля  вылова  прочих ВБР  в  общем  объеме  вылова  за  отчетный  год  составила  3,8 %.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За  2016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год  выловлено  146,2 тонн корюшки,25,4 тонн наваги, 53 тонны  мойвы, 0,8  тонн  гольца, 9,1 тонны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кунджи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, 11,8 тонны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кижуча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и 12,2  тонны  красноперки.</w:t>
      </w:r>
    </w:p>
    <w:p w:rsidR="00250520" w:rsidRDefault="00250520" w:rsidP="009B1E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B1E96" w:rsidRDefault="00250520" w:rsidP="009B1E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021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59F280F" wp14:editId="15D0917C">
            <wp:extent cx="5940425" cy="4391025"/>
            <wp:effectExtent l="0" t="0" r="317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1E96" w:rsidRPr="00250520" w:rsidRDefault="00250520" w:rsidP="00250520">
      <w:pPr>
        <w:spacing w:after="0"/>
        <w:ind w:firstLine="708"/>
        <w:jc w:val="center"/>
        <w:rPr>
          <w:rFonts w:ascii="Times New Roman" w:hAnsi="Times New Roman" w:cs="Times New Roman"/>
          <w:i/>
        </w:rPr>
      </w:pPr>
      <w:r w:rsidRPr="00250520">
        <w:rPr>
          <w:rFonts w:ascii="Times New Roman" w:hAnsi="Times New Roman" w:cs="Times New Roman"/>
          <w:i/>
        </w:rPr>
        <w:t>Рисунок 9</w:t>
      </w:r>
    </w:p>
    <w:p w:rsidR="009B1E96" w:rsidRPr="009B1E96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B1E96" w:rsidRPr="009973CE" w:rsidRDefault="00250520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в путину 2016 года переработкой занимаются 9 береговых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предприятий. </w:t>
      </w:r>
      <w:r w:rsidRPr="009973CE">
        <w:rPr>
          <w:rFonts w:ascii="Times New Roman" w:hAnsi="Times New Roman" w:cs="Times New Roman"/>
          <w:sz w:val="28"/>
          <w:szCs w:val="28"/>
        </w:rPr>
        <w:t>Ими было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   </w:t>
      </w:r>
      <w:r w:rsidRPr="009973CE">
        <w:rPr>
          <w:rFonts w:ascii="Times New Roman" w:hAnsi="Times New Roman" w:cs="Times New Roman"/>
          <w:sz w:val="28"/>
          <w:szCs w:val="28"/>
        </w:rPr>
        <w:t>переработано 37 % всех выловленных в муниципальном образовании лососевых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B1E96" w:rsidRPr="009973CE" w:rsidRDefault="00250520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lastRenderedPageBreak/>
        <w:t>Хозяйствующими субъектами проведена модернизация действующих береговых перерабатывающих мощностей, приобретено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  </w:t>
      </w:r>
      <w:r w:rsidRPr="009973CE">
        <w:rPr>
          <w:rFonts w:ascii="Times New Roman" w:hAnsi="Times New Roman" w:cs="Times New Roman"/>
          <w:sz w:val="28"/>
          <w:szCs w:val="28"/>
        </w:rPr>
        <w:t>и введено в эксплуатацию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новое оборудование на сумму более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20 млн.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>рублей, а именно: установка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для потрошения и мойки </w:t>
      </w:r>
      <w:r w:rsidRPr="009973CE">
        <w:rPr>
          <w:rFonts w:ascii="Times New Roman" w:hAnsi="Times New Roman" w:cs="Times New Roman"/>
          <w:sz w:val="28"/>
          <w:szCs w:val="28"/>
        </w:rPr>
        <w:t>лососевых «</w:t>
      </w:r>
      <w:proofErr w:type="spellStart"/>
      <w:r w:rsidR="009B1E96" w:rsidRPr="009973CE">
        <w:rPr>
          <w:rFonts w:ascii="Times New Roman" w:hAnsi="Times New Roman" w:cs="Times New Roman"/>
          <w:sz w:val="28"/>
          <w:szCs w:val="28"/>
        </w:rPr>
        <w:t>Никко</w:t>
      </w:r>
      <w:proofErr w:type="spellEnd"/>
      <w:r w:rsidR="009B1E96" w:rsidRPr="009973CE">
        <w:rPr>
          <w:rFonts w:ascii="Times New Roman" w:hAnsi="Times New Roman" w:cs="Times New Roman"/>
          <w:sz w:val="28"/>
          <w:szCs w:val="28"/>
        </w:rPr>
        <w:t xml:space="preserve">», линия </w:t>
      </w:r>
      <w:r w:rsidRPr="009973CE">
        <w:rPr>
          <w:rFonts w:ascii="Times New Roman" w:hAnsi="Times New Roman" w:cs="Times New Roman"/>
          <w:sz w:val="28"/>
          <w:szCs w:val="28"/>
        </w:rPr>
        <w:t>по обезглавливанию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наваги, </w:t>
      </w:r>
      <w:proofErr w:type="spellStart"/>
      <w:proofErr w:type="gramStart"/>
      <w:r w:rsidR="009B1E96" w:rsidRPr="009973CE">
        <w:rPr>
          <w:rFonts w:ascii="Times New Roman" w:hAnsi="Times New Roman" w:cs="Times New Roman"/>
          <w:sz w:val="28"/>
          <w:szCs w:val="28"/>
        </w:rPr>
        <w:t>тузлуковарка</w:t>
      </w:r>
      <w:proofErr w:type="spellEnd"/>
      <w:r w:rsidR="009B1E96" w:rsidRPr="009973CE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="009B1E96" w:rsidRPr="009973CE">
        <w:rPr>
          <w:rFonts w:ascii="Times New Roman" w:hAnsi="Times New Roman" w:cs="Times New Roman"/>
          <w:sz w:val="28"/>
          <w:szCs w:val="28"/>
        </w:rPr>
        <w:t xml:space="preserve">  транспортные  средства.</w:t>
      </w:r>
    </w:p>
    <w:p w:rsidR="009B1E96" w:rsidRPr="009973CE" w:rsidRDefault="00250520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Перерабатывающие мощности предприятий, расположенных в муниципальном образовании, по состоянию на 1 января 2017 года имеют в наличии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   </w:t>
      </w:r>
      <w:r w:rsidRPr="009973CE">
        <w:rPr>
          <w:rFonts w:ascii="Times New Roman" w:hAnsi="Times New Roman" w:cs="Times New Roman"/>
          <w:sz w:val="28"/>
          <w:szCs w:val="28"/>
        </w:rPr>
        <w:t>холодильные мощности, позволяющие единовременно хранить 3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 770 </w:t>
      </w:r>
      <w:r w:rsidRPr="009973CE">
        <w:rPr>
          <w:rFonts w:ascii="Times New Roman" w:hAnsi="Times New Roman" w:cs="Times New Roman"/>
          <w:sz w:val="28"/>
          <w:szCs w:val="28"/>
        </w:rPr>
        <w:t>тонн готовой</w:t>
      </w:r>
      <w:r w:rsidR="009B1E96" w:rsidRPr="009973CE">
        <w:rPr>
          <w:rFonts w:ascii="Times New Roman" w:hAnsi="Times New Roman" w:cs="Times New Roman"/>
          <w:sz w:val="28"/>
          <w:szCs w:val="28"/>
        </w:rPr>
        <w:t xml:space="preserve"> продукции.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Морозильные  мощности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дают  возможность  заморозить  501  тонн  рыбы  сырца  в сутки.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  настоящий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момент  на  всех  предприятиях  имеются  автоматизированные  линии  по  разделки  лосося  и  цеха  по  производству  деликатесной  продукции (72  тонн  икры  соленой  бочковой  в  сутки  и  5  тонн  икры  мороженой  в  ястыках).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Предприятия  рыбопромышленного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комплекса   в  2016  году получили  поддержку  по программе  «Стимулирование  экономической  активности  в  муниципальном  образовании  «Городской  округ  Ногликский»   на  сумму  2 471,8 тыс. рублей,  в  том  числе  из  местного  бюджета  308,0 тыс. руб. (субсидии на  возмещение  части затрат, связанных  с  приобретением  оборудования  и  возмещение  затрат  на  уплату  %  по  кредитам).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За  2016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год  предприятиями  рыбопромышленного  комплекса  перечислено  в  местный  бюджет  9,3  млн.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рублей  налогов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>,  это больше  чем  за  2015  год  на  3 млн. руб</w:t>
      </w:r>
      <w:r w:rsidRPr="009973CE">
        <w:rPr>
          <w:rFonts w:ascii="Times New Roman" w:hAnsi="Times New Roman" w:cs="Times New Roman"/>
          <w:i/>
          <w:sz w:val="28"/>
          <w:szCs w:val="28"/>
        </w:rPr>
        <w:t xml:space="preserve">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Поступление  в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местный  бюджет  были  бы  значительнее  если  бы  все  предприятия,  осуществляющие  вылов ВБР  в  границах  МО, были  зарегистрированы  налоговой  службой по  месту  осуществления  деятельности.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  настоящий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момент  12  предприятий  из  24  не  стоят  на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наловоговом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 учете.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 xml:space="preserve">В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рыбохозяйственном</w:t>
      </w:r>
      <w:proofErr w:type="spellEnd"/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комплексе  сдерживающими  факторами  развития  являются: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цикличность  подхода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лососевых  (1  раз  в  два  года);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узкая  специализация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рыбохозяйственного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 комплекса  (90,3 % от  всего  улова  приходится  на  вылов  лососевых);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-сезонное использование производственных мощностей;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браконьерский  промысел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лосося.</w:t>
      </w:r>
    </w:p>
    <w:p w:rsidR="009B1E96" w:rsidRPr="009973CE" w:rsidRDefault="009B1E96" w:rsidP="009B1E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  2016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году  </w:t>
      </w:r>
      <w:r w:rsidRPr="009973CE">
        <w:rPr>
          <w:rFonts w:ascii="Times New Roman" w:hAnsi="Times New Roman" w:cs="Times New Roman"/>
          <w:i/>
          <w:sz w:val="28"/>
          <w:szCs w:val="28"/>
        </w:rPr>
        <w:t>спортивное  и  любительское  рыболовство</w:t>
      </w:r>
      <w:r w:rsidRPr="009973CE">
        <w:rPr>
          <w:rFonts w:ascii="Times New Roman" w:hAnsi="Times New Roman" w:cs="Times New Roman"/>
          <w:sz w:val="28"/>
          <w:szCs w:val="28"/>
        </w:rPr>
        <w:t xml:space="preserve">  было организовано  на  двух   местах  лова, фактически  осуществлялось  только  в  заливе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Набильский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 на  участке ООО НХ «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Кайган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».  Стоимость  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путевок  для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рыбаков  любителей  на  вылов  горбуши  была  50  рублей, на  вылов кеты -60 рублей.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Организатором  любительского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и  спортивного  рыболовства  ООО НХ «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Кайган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»   предоставлялись  льготы для  ветеранов  военных  действий  и  </w:t>
      </w:r>
      <w:r w:rsidRPr="009973CE">
        <w:rPr>
          <w:rFonts w:ascii="Times New Roman" w:hAnsi="Times New Roman" w:cs="Times New Roman"/>
          <w:sz w:val="28"/>
          <w:szCs w:val="28"/>
        </w:rPr>
        <w:lastRenderedPageBreak/>
        <w:t xml:space="preserve">многодетным  семьям.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За  2016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годы    фактически  было выловлено  11,5  тонн  горбуши,  2,7 тонн  кеты.  </w:t>
      </w:r>
    </w:p>
    <w:p w:rsidR="00250520" w:rsidRPr="009973CE" w:rsidRDefault="00250520" w:rsidP="0025052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В рамках регионального проекта, осуществление добычи (вылова) водных биоресурсов в шестимильной зоне, выдано всего 1 разрешение в с. Вал. </w:t>
      </w:r>
      <w:proofErr w:type="gramStart"/>
      <w:r w:rsidRPr="009973CE">
        <w:rPr>
          <w:rFonts w:ascii="Times New Roman" w:hAnsi="Times New Roman"/>
          <w:sz w:val="28"/>
          <w:szCs w:val="28"/>
        </w:rPr>
        <w:t>В  муниципальном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 образовании граждане, проживающие в сельской местность, не участвуют в данном эксперименте. При этом сельские граждане могут улучшить свое финансовое положение и на законных основаниях заниматься рыболовством с дальнейшей сдачей улова в закупочный центр. Такой центр создан в с. Вал на базе предприятия ООО «Сахалинская чайка».</w:t>
      </w:r>
    </w:p>
    <w:p w:rsidR="009B1E96" w:rsidRPr="009973CE" w:rsidRDefault="009B1E96" w:rsidP="002505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Предприятия  рыбопромышленного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комплекса  оказывали  благотворительную  помощь  социально-незащищенной  группе  населения    в  виде  бесплатной  раздачи  рыбы.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За  путину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2016  года  было  передано  населению   75,45 тонн  горбуши  предприятиями  и  индивидуальными  предпринимателями (ООО «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Даги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», ООО «Ирида», ИП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Хрянин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И.В., ИП  Шацков М.А.,ООО НХ «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Кайган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>», ООО «Ловец», ООО «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Нампи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>, ООО «Охотское море», ООО «Витязь Аква», ООО «Динамо-Ноглики»). Передача рыбы социально-незащищенным гражданам была организована в пгт. Ноглики, селах Вал и Ныш.</w:t>
      </w:r>
    </w:p>
    <w:p w:rsidR="00F00332" w:rsidRPr="009973CE" w:rsidRDefault="009B1E96" w:rsidP="00250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 xml:space="preserve">Два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рыбодобыващих</w:t>
      </w:r>
      <w:proofErr w:type="spellEnd"/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предприятия  являются  участниками  проекта  «Доступная рыба» (ООО «Ловец» и ООО «Ирида»).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Предприятия  поставляли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рыбную  продукцию  в  розничную  сеть  и    участвовали  в  выездных  ярмарках  выходного  дня</w:t>
      </w:r>
      <w:r w:rsidR="00250520" w:rsidRPr="009973CE">
        <w:rPr>
          <w:rFonts w:ascii="Times New Roman" w:hAnsi="Times New Roman" w:cs="Times New Roman"/>
          <w:sz w:val="28"/>
          <w:szCs w:val="28"/>
        </w:rPr>
        <w:t>.</w:t>
      </w:r>
    </w:p>
    <w:p w:rsidR="00250520" w:rsidRPr="009973CE" w:rsidRDefault="00250520" w:rsidP="0025052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520" w:rsidRPr="009973CE" w:rsidRDefault="00250520" w:rsidP="00250520">
      <w:pPr>
        <w:pStyle w:val="3"/>
        <w:widowControl w:val="0"/>
        <w:spacing w:line="300" w:lineRule="exact"/>
        <w:ind w:firstLine="709"/>
        <w:rPr>
          <w:sz w:val="28"/>
          <w:szCs w:val="28"/>
        </w:rPr>
      </w:pPr>
      <w:r w:rsidRPr="009973CE">
        <w:rPr>
          <w:sz w:val="28"/>
          <w:szCs w:val="28"/>
        </w:rPr>
        <w:t xml:space="preserve">По информации </w:t>
      </w:r>
      <w:proofErr w:type="gramStart"/>
      <w:r w:rsidRPr="009973CE">
        <w:rPr>
          <w:sz w:val="28"/>
          <w:szCs w:val="28"/>
        </w:rPr>
        <w:t>Ногликского  лесничества</w:t>
      </w:r>
      <w:proofErr w:type="gramEnd"/>
      <w:r w:rsidRPr="009973CE">
        <w:rPr>
          <w:sz w:val="28"/>
          <w:szCs w:val="28"/>
        </w:rPr>
        <w:t xml:space="preserve"> ГКУ «Сахалинские лесничества» </w:t>
      </w:r>
      <w:r w:rsidRPr="009973CE">
        <w:rPr>
          <w:b/>
          <w:i/>
          <w:sz w:val="28"/>
          <w:szCs w:val="28"/>
        </w:rPr>
        <w:t>общий объем заготовки леса</w:t>
      </w:r>
      <w:r w:rsidRPr="009973CE">
        <w:rPr>
          <w:sz w:val="28"/>
          <w:szCs w:val="28"/>
        </w:rPr>
        <w:t xml:space="preserve"> компаниями, ведущими разработку лесосек на условиях договоров аренды в 2016 году снизился на 5,2 процента и составил 51,4 </w:t>
      </w:r>
      <w:proofErr w:type="spellStart"/>
      <w:r w:rsidRPr="009973CE">
        <w:rPr>
          <w:sz w:val="28"/>
          <w:szCs w:val="28"/>
        </w:rPr>
        <w:t>тыс.куб.метров</w:t>
      </w:r>
      <w:proofErr w:type="spellEnd"/>
      <w:r w:rsidRPr="009973CE">
        <w:rPr>
          <w:sz w:val="28"/>
          <w:szCs w:val="28"/>
        </w:rPr>
        <w:t xml:space="preserve"> (факт 2015 г. – 54,2 </w:t>
      </w:r>
      <w:proofErr w:type="spellStart"/>
      <w:r w:rsidRPr="009973CE">
        <w:rPr>
          <w:sz w:val="28"/>
          <w:szCs w:val="28"/>
        </w:rPr>
        <w:t>тыс.куб.метров</w:t>
      </w:r>
      <w:proofErr w:type="spellEnd"/>
      <w:r w:rsidRPr="009973CE">
        <w:rPr>
          <w:sz w:val="28"/>
          <w:szCs w:val="28"/>
        </w:rPr>
        <w:t xml:space="preserve">). </w:t>
      </w:r>
    </w:p>
    <w:p w:rsidR="00250520" w:rsidRPr="009973CE" w:rsidRDefault="00250520" w:rsidP="00250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Производством лесоматериалов на территории округа занимаются: ОАУ «Северное лесное хозяйство», ООО «Лесное», два индивидуальных предпринимателя – Тулинов Ю.П. и Поваляев М.С.</w:t>
      </w:r>
    </w:p>
    <w:p w:rsidR="00250520" w:rsidRPr="009973CE" w:rsidRDefault="00250520" w:rsidP="002505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>В отчетном периоде по статистическим данным объемы заготовки древесины составили 93,1 %, производства лесоматериалов – 99,3% к уровню прошлого года.</w:t>
      </w:r>
    </w:p>
    <w:p w:rsidR="00250520" w:rsidRPr="00250520" w:rsidRDefault="00250520" w:rsidP="002505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50520" w:rsidRDefault="00250520" w:rsidP="002505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5052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5298C54" wp14:editId="1C882D03">
            <wp:extent cx="5940425" cy="3435350"/>
            <wp:effectExtent l="0" t="0" r="3175" b="1270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0520" w:rsidRDefault="00250520" w:rsidP="00250520">
      <w:pPr>
        <w:rPr>
          <w:rFonts w:ascii="Times New Roman" w:hAnsi="Times New Roman" w:cs="Times New Roman"/>
          <w:sz w:val="26"/>
          <w:szCs w:val="26"/>
        </w:rPr>
      </w:pPr>
    </w:p>
    <w:p w:rsidR="00250520" w:rsidRDefault="00250520" w:rsidP="00250520">
      <w:pPr>
        <w:tabs>
          <w:tab w:val="left" w:pos="1320"/>
        </w:tabs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 10</w:t>
      </w:r>
    </w:p>
    <w:p w:rsidR="005A5668" w:rsidRPr="009973CE" w:rsidRDefault="005A5668" w:rsidP="005A56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b/>
          <w:i/>
          <w:sz w:val="28"/>
          <w:szCs w:val="28"/>
        </w:rPr>
        <w:t>Пищевая промышленность</w:t>
      </w:r>
      <w:r w:rsidRPr="009973CE">
        <w:rPr>
          <w:rFonts w:ascii="Times New Roman" w:hAnsi="Times New Roman"/>
          <w:sz w:val="28"/>
          <w:szCs w:val="28"/>
        </w:rPr>
        <w:t xml:space="preserve"> представлена хлебопекарной и кондитерской отраслями, деятельность осуществляют 5 хозяйствующих субъектов. работают 5 цехов малой мощности по производству хлебобулочных изделий.</w:t>
      </w:r>
    </w:p>
    <w:p w:rsidR="005A5668" w:rsidRPr="009973CE" w:rsidRDefault="005A5668" w:rsidP="005A566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В отчетном периоде производство хлеба и хлебобулочных изделий в натуральном выражении составило 528,1 </w:t>
      </w:r>
      <w:proofErr w:type="spellStart"/>
      <w:r w:rsidRPr="009973CE">
        <w:rPr>
          <w:rFonts w:ascii="Times New Roman" w:hAnsi="Times New Roman"/>
          <w:sz w:val="28"/>
          <w:szCs w:val="28"/>
        </w:rPr>
        <w:t>тн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и кондитерских изделий 33,7 </w:t>
      </w:r>
      <w:proofErr w:type="spellStart"/>
      <w:proofErr w:type="gramStart"/>
      <w:r w:rsidRPr="009973CE">
        <w:rPr>
          <w:rFonts w:ascii="Times New Roman" w:hAnsi="Times New Roman"/>
          <w:sz w:val="28"/>
          <w:szCs w:val="28"/>
        </w:rPr>
        <w:t>тн</w:t>
      </w:r>
      <w:proofErr w:type="spellEnd"/>
      <w:r w:rsidRPr="009973CE">
        <w:rPr>
          <w:rFonts w:ascii="Times New Roman" w:hAnsi="Times New Roman"/>
          <w:sz w:val="28"/>
          <w:szCs w:val="28"/>
        </w:rPr>
        <w:t>,  что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 составляет 75,5 % от уровня 2015 года. Хозяйствующие субъекты расширяют ассортиментный перечень выпускаемой продукции с внедрением новых технологий. Предприятия планомерно изучают спрос населения, так ООО «Пекарь» в 2016 году стал выпекать более 50 наименований хлебобулочных изделий и 80 наименований кондитерских изделий.</w:t>
      </w:r>
    </w:p>
    <w:p w:rsidR="005A5668" w:rsidRPr="009973CE" w:rsidRDefault="005A5668" w:rsidP="005A56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 Количество занятых на производстве составляет 31 человек.</w:t>
      </w:r>
    </w:p>
    <w:p w:rsidR="005A5668" w:rsidRPr="009973CE" w:rsidRDefault="005A5668" w:rsidP="005A5668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 Снижение объемов производства объясняется увеличением в течение 2016 года стоимости минимального набора продуктов питания по оценке </w:t>
      </w:r>
      <w:proofErr w:type="spellStart"/>
      <w:r w:rsidRPr="009973CE">
        <w:rPr>
          <w:rFonts w:ascii="Times New Roman" w:hAnsi="Times New Roman"/>
          <w:sz w:val="28"/>
          <w:szCs w:val="28"/>
        </w:rPr>
        <w:t>статэкспертов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на 1,5% и снижением экономического спроса населения.     </w:t>
      </w:r>
    </w:p>
    <w:p w:rsidR="005A5668" w:rsidRPr="009973CE" w:rsidRDefault="005A5668" w:rsidP="005A566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Объем </w:t>
      </w:r>
      <w:proofErr w:type="gramStart"/>
      <w:r w:rsidRPr="009973CE">
        <w:rPr>
          <w:rFonts w:ascii="Times New Roman" w:hAnsi="Times New Roman"/>
          <w:sz w:val="28"/>
          <w:szCs w:val="28"/>
        </w:rPr>
        <w:t>частных инвестиций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 привлеченных в мероприятия по техническому переоснащению (замене, модернизации, дооснащению) и ремонту объектов хлебопекарного производства за 2016 год составил 1,6 </w:t>
      </w:r>
      <w:proofErr w:type="spellStart"/>
      <w:r w:rsidRPr="009973CE">
        <w:rPr>
          <w:rFonts w:ascii="Times New Roman" w:hAnsi="Times New Roman"/>
          <w:sz w:val="28"/>
          <w:szCs w:val="28"/>
        </w:rPr>
        <w:t>млн.руб</w:t>
      </w:r>
      <w:proofErr w:type="spellEnd"/>
      <w:r w:rsidRPr="009973CE">
        <w:rPr>
          <w:rFonts w:ascii="Times New Roman" w:hAnsi="Times New Roman"/>
          <w:sz w:val="28"/>
          <w:szCs w:val="28"/>
        </w:rPr>
        <w:t>. Модернизация сырьевой базы обеспечит устойчивое развитие и создаст предпосылки для формирования нового технологического уклада пищевой промышленности района. Пищевая промышленность современного типа способствует насыщению рынка собственными продовольственными товарами.</w:t>
      </w:r>
    </w:p>
    <w:p w:rsidR="005A5668" w:rsidRPr="009973CE" w:rsidRDefault="005A5668" w:rsidP="005A56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lastRenderedPageBreak/>
        <w:t xml:space="preserve">         Мобилизация платежей в бюджеты МО по виду экономической деятельности «производство пищевых продуктов…» превысила показатели 2016 года в 1,4 раза.</w:t>
      </w:r>
    </w:p>
    <w:p w:rsidR="005A5668" w:rsidRPr="009973CE" w:rsidRDefault="005A5668" w:rsidP="005A56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0520" w:rsidRDefault="005A5668" w:rsidP="00250520">
      <w:pPr>
        <w:tabs>
          <w:tab w:val="left" w:pos="132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A566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9A2DD34" wp14:editId="4AA33386">
            <wp:extent cx="5940425" cy="3673475"/>
            <wp:effectExtent l="0" t="0" r="3175" b="317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A5668" w:rsidRDefault="005A5668" w:rsidP="005A5668">
      <w:pPr>
        <w:tabs>
          <w:tab w:val="left" w:pos="1320"/>
        </w:tabs>
        <w:jc w:val="center"/>
        <w:rPr>
          <w:rFonts w:ascii="Times New Roman" w:hAnsi="Times New Roman" w:cs="Times New Roman"/>
          <w:i/>
        </w:rPr>
      </w:pPr>
      <w:r w:rsidRPr="005A5668">
        <w:rPr>
          <w:rFonts w:ascii="Times New Roman" w:hAnsi="Times New Roman" w:cs="Times New Roman"/>
          <w:i/>
        </w:rPr>
        <w:t>Рисунок 11</w:t>
      </w:r>
    </w:p>
    <w:p w:rsidR="00377E21" w:rsidRDefault="00377E21" w:rsidP="00377E21">
      <w:pPr>
        <w:jc w:val="center"/>
      </w:pPr>
    </w:p>
    <w:p w:rsidR="00377E21" w:rsidRPr="009973CE" w:rsidRDefault="00377E21" w:rsidP="00377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973CE">
        <w:rPr>
          <w:rFonts w:ascii="Times New Roman" w:hAnsi="Times New Roman" w:cs="Times New Roman"/>
          <w:b/>
          <w:i/>
          <w:sz w:val="28"/>
          <w:szCs w:val="28"/>
        </w:rPr>
        <w:t>Отрасль  сельское</w:t>
      </w:r>
      <w:proofErr w:type="gramEnd"/>
      <w:r w:rsidRPr="009973CE">
        <w:rPr>
          <w:rFonts w:ascii="Times New Roman" w:hAnsi="Times New Roman" w:cs="Times New Roman"/>
          <w:b/>
          <w:i/>
          <w:sz w:val="28"/>
          <w:szCs w:val="28"/>
        </w:rPr>
        <w:t xml:space="preserve">  хозяйство</w:t>
      </w:r>
      <w:r w:rsidRPr="009973CE">
        <w:rPr>
          <w:rFonts w:ascii="Times New Roman" w:hAnsi="Times New Roman" w:cs="Times New Roman"/>
          <w:sz w:val="28"/>
          <w:szCs w:val="28"/>
        </w:rPr>
        <w:t xml:space="preserve">  в  муниципальном образовании в  2016  году  представляли  четыре  крестьянских (фермерских)  хозяйства  и более 700 личными  подсобными  хозяйства  граждан.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73CE">
        <w:rPr>
          <w:rFonts w:ascii="Times New Roman" w:hAnsi="Times New Roman" w:cs="Times New Roman"/>
          <w:sz w:val="28"/>
          <w:szCs w:val="28"/>
        </w:rPr>
        <w:t>Отрасль  работает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в  рамках реализации  подпрограммы  «Развитие  сельского  хозяйства  и  регулирование  рынков  сельскохозяйственной  продукции,  сырья  и  продовольствия  муниципального  образования  «Городской  округ  Ногликский»  на  2015-2020  годы»  муниципальной  программы  «Стимулирование экономической активности в муниципальном образовании  «Городской округ Ногликский» на 2015-2020 годы»,  программные  мероприятия осуществлялись по следующим направлениям, и  в  основном выполнены: </w:t>
      </w:r>
      <w:r w:rsidRPr="009973CE">
        <w:rPr>
          <w:rFonts w:ascii="Times New Roman" w:hAnsi="Times New Roman" w:cs="Times New Roman"/>
          <w:sz w:val="28"/>
          <w:szCs w:val="28"/>
        </w:rPr>
        <w:tab/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вовлечение  неиспользуемых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сельскохозяйственных  земель  в  сельскохозяйственный оборот;  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приобретение  технологического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оборудования  для  оснащения  животноводческих помещений; 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поддержка граждан,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имеющих  сельскохозяйственных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животных;  организации  работы  школы  огородников и граждан, имеющих личные подсобные хозяйства.   </w:t>
      </w:r>
    </w:p>
    <w:p w:rsidR="00377E21" w:rsidRPr="009973CE" w:rsidRDefault="00377E21" w:rsidP="00377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i/>
          <w:sz w:val="28"/>
          <w:szCs w:val="28"/>
        </w:rPr>
        <w:lastRenderedPageBreak/>
        <w:tab/>
      </w:r>
      <w:r w:rsidRPr="009973CE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целях  повышения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роли администрации  муниципального  образования  в  обороте  земель  сельскохозяйственного назначения выполнена работа по   межеванию и постановке на кадастровый учет земель сельскохозяйственного назначения   площадью  400</w:t>
      </w:r>
      <w:r w:rsidRPr="009973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 xml:space="preserve">га  для  последующего  оформления  права  муниципальной  собственности  на  земли  с/х  назначения. 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Посевные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площади  сельскохозяйственных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культур  в  2016  году  составили  186 га.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По  состоянию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на  1.12.2016 заключен договор на использование     дополнительных  земель по пашню  КФХ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И.И. (12,2га) из земель населенных пунктов  и   ведется работа  по выделению  земли для  ООО «Норд» (1 га) для строительства теплиц.</w:t>
      </w:r>
      <w:r w:rsidRPr="009973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77E21" w:rsidRPr="009973CE" w:rsidRDefault="00377E21" w:rsidP="00377E2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73CE">
        <w:rPr>
          <w:rFonts w:ascii="Times New Roman" w:hAnsi="Times New Roman" w:cs="Times New Roman"/>
          <w:i/>
          <w:sz w:val="28"/>
          <w:szCs w:val="28"/>
        </w:rPr>
        <w:tab/>
      </w:r>
      <w:r w:rsidRPr="009973CE">
        <w:rPr>
          <w:rFonts w:ascii="Times New Roman" w:hAnsi="Times New Roman" w:cs="Times New Roman"/>
          <w:sz w:val="28"/>
          <w:szCs w:val="28"/>
        </w:rPr>
        <w:t xml:space="preserve">Фактором положительной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работы  отрасли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является  выполнение мероприятий   по  приобретению  технологического  оборудования  для  оснащения  животноводческих помещений,  а  именно:</w:t>
      </w:r>
      <w:r w:rsidRPr="009973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Pr="009973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 xml:space="preserve">транспортера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навозоудаления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ТСН-160 а/б </w:t>
      </w:r>
      <w:r w:rsidRPr="009973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973CE">
        <w:rPr>
          <w:rFonts w:ascii="Times New Roman" w:hAnsi="Times New Roman" w:cs="Times New Roman"/>
          <w:sz w:val="28"/>
          <w:szCs w:val="28"/>
        </w:rPr>
        <w:t xml:space="preserve">К (Ф) Х 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И.И., на  условиях софинансирования за  счет собственных  средств и средств  областного и федерального   бюджетов.  </w:t>
      </w:r>
    </w:p>
    <w:p w:rsidR="00377E21" w:rsidRPr="009973CE" w:rsidRDefault="00377E21" w:rsidP="00377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На  1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января  2017 года поголовье крупного рогатого скота  в  хозяйствах всех категорий  составило 48 голов,  в том  числе коров  24 голов, свиней 301 головы, овец и коз  45 голов, птицы 8620 голов, оленей  130 голов (завезено  для  улучшения маточного поголовья  30  голов оленей  с  Якутии). </w:t>
      </w:r>
    </w:p>
    <w:p w:rsidR="00377E21" w:rsidRPr="009973CE" w:rsidRDefault="00377E21" w:rsidP="00377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ab/>
        <w:t xml:space="preserve">При поддержке 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министерства  сельского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хозяйства Сахалинской КФХ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Ефанова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И.И.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была  приобретена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первая  партия  цыплят  на  птицефабрике «Островная».  </w:t>
      </w:r>
    </w:p>
    <w:p w:rsidR="00377E21" w:rsidRPr="009973CE" w:rsidRDefault="00377E21" w:rsidP="00377E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  целях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наращивания  производства продукции  животноводства в  личных  подсобных  хозяйствах  в  2016 году  были  осуществлены  мероприятия, которые   направлены  на    сдерживание  снижения  поголовья  скота и птицы  в  хозяйствах  населения, а именно: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организована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поставка  с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возмещением  затрат,  связанных  с  доставкой  поставляемых  в  централизованном  порядке   для  крупного рогатого скота, свиней и птицы  в  количестве 270  тонн комбикормов и  фуражного зерна (1 892,1 тыс. руб. из областного бюджета  и 19,1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 xml:space="preserve"> из местного бюджета) 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возмещено  затрат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гражданам, ведущим личные подсобные хозяйства,  на  содержание коров  для   4  ЛПХ  (252,0 тыс. </w:t>
      </w:r>
      <w:proofErr w:type="spellStart"/>
      <w:r w:rsidRPr="009973CE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9973CE">
        <w:rPr>
          <w:rFonts w:ascii="Times New Roman" w:hAnsi="Times New Roman" w:cs="Times New Roman"/>
          <w:sz w:val="28"/>
          <w:szCs w:val="28"/>
        </w:rPr>
        <w:t>);</w:t>
      </w:r>
    </w:p>
    <w:p w:rsidR="00377E21" w:rsidRPr="009973CE" w:rsidRDefault="00377E21" w:rsidP="00377E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оказаны  консультативные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услуги     гражданам,  желающими  заниматься  животноводством,  по  вопросам содержания скота  и  птицы.</w:t>
      </w:r>
    </w:p>
    <w:p w:rsidR="00377E21" w:rsidRPr="009973CE" w:rsidRDefault="00377E21" w:rsidP="00377E21">
      <w:pPr>
        <w:tabs>
          <w:tab w:val="left" w:pos="3650"/>
          <w:tab w:val="center" w:pos="4677"/>
          <w:tab w:val="left" w:pos="673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3CE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9973CE">
        <w:rPr>
          <w:rFonts w:ascii="Times New Roman" w:hAnsi="Times New Roman" w:cs="Times New Roman"/>
          <w:sz w:val="28"/>
          <w:szCs w:val="28"/>
        </w:rPr>
        <w:t>В  целях</w:t>
      </w:r>
      <w:proofErr w:type="gramEnd"/>
      <w:r w:rsidRPr="009973CE">
        <w:rPr>
          <w:rFonts w:ascii="Times New Roman" w:hAnsi="Times New Roman" w:cs="Times New Roman"/>
          <w:sz w:val="28"/>
          <w:szCs w:val="28"/>
        </w:rPr>
        <w:t xml:space="preserve">  пропаганды  сельскохозяйственного  производства в личных подсобных хозяйствах, демонстрации  возможностей  местных  сельскохозяйственных производителей    и  увеличения занятости населения сельским хозяйством  на  территории  муниципального  продолжена работа  школы  огородников  и  граждан,</w:t>
      </w:r>
      <w:r w:rsidRPr="009973CE">
        <w:rPr>
          <w:rFonts w:ascii="Times New Roman" w:hAnsi="Times New Roman" w:cs="Times New Roman"/>
          <w:sz w:val="28"/>
          <w:szCs w:val="28"/>
        </w:rPr>
        <w:tab/>
        <w:t>ведущих  личные  подсобные  хозяйства</w:t>
      </w:r>
    </w:p>
    <w:p w:rsidR="005A5668" w:rsidRPr="009973CE" w:rsidRDefault="005A5668" w:rsidP="00377E21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77E21" w:rsidRDefault="00377E21" w:rsidP="00377E21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</w:rPr>
      </w:pPr>
    </w:p>
    <w:p w:rsidR="00377E21" w:rsidRDefault="00377E21" w:rsidP="00377E21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</w:rPr>
      </w:pPr>
      <w:r w:rsidRPr="00377E21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2240B68D" wp14:editId="2A5DF90A">
            <wp:extent cx="6273800" cy="3700145"/>
            <wp:effectExtent l="0" t="0" r="12700" b="1460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77E21" w:rsidRDefault="00377E21" w:rsidP="00377E21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</w:rPr>
      </w:pPr>
    </w:p>
    <w:p w:rsidR="00377E21" w:rsidRDefault="00377E21" w:rsidP="00377E21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Рисунок 12</w:t>
      </w:r>
    </w:p>
    <w:p w:rsidR="00377E21" w:rsidRDefault="00377E21" w:rsidP="00377E21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</w:rPr>
      </w:pP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В сфере </w:t>
      </w:r>
      <w:r w:rsidRPr="009973CE">
        <w:rPr>
          <w:rFonts w:ascii="Times New Roman" w:hAnsi="Times New Roman"/>
          <w:b/>
          <w:i/>
          <w:sz w:val="28"/>
          <w:szCs w:val="28"/>
        </w:rPr>
        <w:t>услуг потребительского рынка</w:t>
      </w:r>
      <w:r w:rsidRPr="009973CE">
        <w:rPr>
          <w:rFonts w:ascii="Times New Roman" w:hAnsi="Times New Roman"/>
          <w:sz w:val="28"/>
          <w:szCs w:val="28"/>
        </w:rPr>
        <w:t xml:space="preserve"> осуществляют деятельность 191 хозяйствующих субъект, из </w:t>
      </w:r>
      <w:proofErr w:type="gramStart"/>
      <w:r w:rsidRPr="009973CE">
        <w:rPr>
          <w:rFonts w:ascii="Times New Roman" w:hAnsi="Times New Roman"/>
          <w:sz w:val="28"/>
          <w:szCs w:val="28"/>
        </w:rPr>
        <w:t>них  71</w:t>
      </w:r>
      <w:proofErr w:type="gramEnd"/>
      <w:r w:rsidRPr="009973CE">
        <w:rPr>
          <w:rFonts w:ascii="Times New Roman" w:hAnsi="Times New Roman"/>
          <w:sz w:val="28"/>
          <w:szCs w:val="28"/>
        </w:rPr>
        <w:t>% - индивидуальные предприниматели. Более 50% хозяйствующих субъектов осуществляют деятельность в сфере розничной торговли.</w:t>
      </w: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Численность работающих в секторах потребительского рынка составляет порядка 688 человек.</w:t>
      </w:r>
    </w:p>
    <w:p w:rsidR="00377E21" w:rsidRPr="009973CE" w:rsidRDefault="00377E21" w:rsidP="00377E21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Сфера потребительского рынка МО насчитывает 179 объектов, в том числе: оптовая торговля – 2; розничная торговля – 88; рынок – 1; нестационарные торговые объекты (киоски и павильоны) – 12; пищевая промышленность (хлебопекарная и кондитерская) – 5, общественное питание -14 (в </w:t>
      </w:r>
      <w:proofErr w:type="spellStart"/>
      <w:r w:rsidRPr="009973CE">
        <w:rPr>
          <w:rFonts w:ascii="Times New Roman" w:hAnsi="Times New Roman"/>
          <w:sz w:val="28"/>
          <w:szCs w:val="28"/>
        </w:rPr>
        <w:t>т.ч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. столовые школьные - 5), гостиничное хозяйство – 5, бытовое обслуживание – 52. </w:t>
      </w:r>
    </w:p>
    <w:p w:rsidR="00377E21" w:rsidRPr="00377E21" w:rsidRDefault="00377E21" w:rsidP="00377E21">
      <w:pPr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5610225" cy="1828800"/>
            <wp:effectExtent l="0" t="0" r="0" b="0"/>
            <wp:docPr id="15" name="Диаграмм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377E21">
        <w:rPr>
          <w:rFonts w:ascii="Times New Roman" w:hAnsi="Times New Roman" w:cs="Times New Roman"/>
          <w:i/>
        </w:rPr>
        <w:t>Рисунок 13</w:t>
      </w:r>
    </w:p>
    <w:p w:rsidR="00377E21" w:rsidRPr="009973CE" w:rsidRDefault="00377E21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lastRenderedPageBreak/>
        <w:t xml:space="preserve">     </w:t>
      </w:r>
    </w:p>
    <w:p w:rsidR="00377E21" w:rsidRPr="009973CE" w:rsidRDefault="009973CE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77E21" w:rsidRPr="009973CE">
        <w:rPr>
          <w:rFonts w:ascii="Times New Roman" w:hAnsi="Times New Roman"/>
          <w:sz w:val="28"/>
          <w:szCs w:val="28"/>
        </w:rPr>
        <w:t xml:space="preserve">  Обеспеченность населения площадью торговых объектов на 1 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тыс.жителей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 xml:space="preserve"> МО составляет 635 м</w:t>
      </w:r>
      <w:proofErr w:type="gramStart"/>
      <w:r w:rsidR="00377E21" w:rsidRPr="009973CE">
        <w:rPr>
          <w:rFonts w:ascii="Times New Roman" w:hAnsi="Times New Roman"/>
          <w:sz w:val="28"/>
          <w:szCs w:val="28"/>
          <w:vertAlign w:val="superscript"/>
        </w:rPr>
        <w:t xml:space="preserve">2  </w:t>
      </w:r>
      <w:r w:rsidR="00377E21" w:rsidRPr="009973CE">
        <w:rPr>
          <w:rFonts w:ascii="Times New Roman" w:hAnsi="Times New Roman"/>
          <w:sz w:val="28"/>
          <w:szCs w:val="28"/>
        </w:rPr>
        <w:t>или</w:t>
      </w:r>
      <w:proofErr w:type="gramEnd"/>
      <w:r w:rsidR="00377E21" w:rsidRPr="009973CE">
        <w:rPr>
          <w:rFonts w:ascii="Times New Roman" w:hAnsi="Times New Roman"/>
          <w:sz w:val="28"/>
          <w:szCs w:val="28"/>
        </w:rPr>
        <w:t xml:space="preserve"> 105% от установленного норматива минимальной обеспеченности (604 м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 xml:space="preserve"> /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тыс.чел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 xml:space="preserve">., в 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т.ч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>. продовольственной группой – 199 м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>/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тыс.чел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 xml:space="preserve">. и промышленной группой - 405 м 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>/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тыс.чел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>.). В том числе: пгт. Ноглики – 665 м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>/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тыс.чел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>., с. Ныш – 228 м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>/</w:t>
      </w:r>
      <w:proofErr w:type="spellStart"/>
      <w:proofErr w:type="gramStart"/>
      <w:r w:rsidR="00377E21" w:rsidRPr="009973CE">
        <w:rPr>
          <w:rFonts w:ascii="Times New Roman" w:hAnsi="Times New Roman"/>
          <w:sz w:val="28"/>
          <w:szCs w:val="28"/>
        </w:rPr>
        <w:t>тыс.жит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>.,</w:t>
      </w:r>
      <w:proofErr w:type="gramEnd"/>
      <w:r w:rsidR="00377E21" w:rsidRPr="009973CE">
        <w:rPr>
          <w:rFonts w:ascii="Times New Roman" w:hAnsi="Times New Roman"/>
          <w:sz w:val="28"/>
          <w:szCs w:val="28"/>
        </w:rPr>
        <w:t xml:space="preserve"> с. Вал – 485,7 м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>/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тыс.жит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>., с. Катангли – 383 м</w:t>
      </w:r>
      <w:r w:rsidR="00377E21" w:rsidRPr="009973CE">
        <w:rPr>
          <w:rFonts w:ascii="Times New Roman" w:hAnsi="Times New Roman"/>
          <w:sz w:val="28"/>
          <w:szCs w:val="28"/>
          <w:vertAlign w:val="superscript"/>
        </w:rPr>
        <w:t>2</w:t>
      </w:r>
      <w:r w:rsidR="00377E21" w:rsidRPr="009973CE">
        <w:rPr>
          <w:rFonts w:ascii="Times New Roman" w:hAnsi="Times New Roman"/>
          <w:sz w:val="28"/>
          <w:szCs w:val="28"/>
        </w:rPr>
        <w:t>/</w:t>
      </w:r>
      <w:proofErr w:type="spellStart"/>
      <w:r w:rsidR="00377E21" w:rsidRPr="009973CE">
        <w:rPr>
          <w:rFonts w:ascii="Times New Roman" w:hAnsi="Times New Roman"/>
          <w:sz w:val="28"/>
          <w:szCs w:val="28"/>
        </w:rPr>
        <w:t>тыс.жителей</w:t>
      </w:r>
      <w:proofErr w:type="spellEnd"/>
      <w:r w:rsidR="00377E21" w:rsidRPr="009973CE">
        <w:rPr>
          <w:rFonts w:ascii="Times New Roman" w:hAnsi="Times New Roman"/>
          <w:sz w:val="28"/>
          <w:szCs w:val="28"/>
        </w:rPr>
        <w:t>.</w:t>
      </w:r>
    </w:p>
    <w:p w:rsidR="009973CE" w:rsidRDefault="009973CE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973CE" w:rsidRDefault="009973CE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77E21" w:rsidRPr="00C414C8" w:rsidRDefault="00377E21" w:rsidP="00377E21">
      <w:pPr>
        <w:tabs>
          <w:tab w:val="left" w:pos="933"/>
        </w:tabs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C414C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15025" cy="2314575"/>
            <wp:effectExtent l="0" t="0" r="0" b="0"/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77E21" w:rsidRPr="00377E21" w:rsidRDefault="00377E21" w:rsidP="00377E21">
      <w:pPr>
        <w:tabs>
          <w:tab w:val="left" w:pos="933"/>
        </w:tabs>
        <w:jc w:val="center"/>
        <w:rPr>
          <w:rFonts w:ascii="Times New Roman" w:hAnsi="Times New Roman" w:cs="Times New Roman"/>
          <w:i/>
        </w:rPr>
      </w:pPr>
      <w:r w:rsidRPr="00377E21">
        <w:rPr>
          <w:rFonts w:ascii="Times New Roman" w:hAnsi="Times New Roman" w:cs="Times New Roman"/>
          <w:i/>
        </w:rPr>
        <w:t>Рисунок 14</w:t>
      </w: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За счет вложения частного капитала в реконструкцию помещений открылись новые продовольственные </w:t>
      </w:r>
      <w:proofErr w:type="gramStart"/>
      <w:r w:rsidRPr="009973CE">
        <w:rPr>
          <w:rFonts w:ascii="Times New Roman" w:hAnsi="Times New Roman"/>
          <w:sz w:val="28"/>
          <w:szCs w:val="28"/>
        </w:rPr>
        <w:t>магазины:  «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Семейный» (ИП </w:t>
      </w:r>
      <w:proofErr w:type="spellStart"/>
      <w:r w:rsidRPr="009973CE">
        <w:rPr>
          <w:rFonts w:ascii="Times New Roman" w:hAnsi="Times New Roman"/>
          <w:sz w:val="28"/>
          <w:szCs w:val="28"/>
        </w:rPr>
        <w:t>Дроздовский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А.), «Максим Плюс» (ИП </w:t>
      </w:r>
      <w:proofErr w:type="spellStart"/>
      <w:r w:rsidRPr="009973CE">
        <w:rPr>
          <w:rFonts w:ascii="Times New Roman" w:hAnsi="Times New Roman"/>
          <w:sz w:val="28"/>
          <w:szCs w:val="28"/>
        </w:rPr>
        <w:t>Хорольская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Ж.В.), промышленный магазин школьных товаров «Стиль» (ИП </w:t>
      </w:r>
      <w:proofErr w:type="spellStart"/>
      <w:r w:rsidRPr="009973CE">
        <w:rPr>
          <w:rFonts w:ascii="Times New Roman" w:hAnsi="Times New Roman"/>
          <w:sz w:val="28"/>
          <w:szCs w:val="28"/>
        </w:rPr>
        <w:t>Копанчук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О.О.).</w:t>
      </w: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За счет привлечения частного капитала в </w:t>
      </w:r>
      <w:proofErr w:type="gramStart"/>
      <w:r w:rsidRPr="009973CE">
        <w:rPr>
          <w:rFonts w:ascii="Times New Roman" w:hAnsi="Times New Roman"/>
          <w:sz w:val="28"/>
          <w:szCs w:val="28"/>
        </w:rPr>
        <w:t>строительство  в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 2016 году открылись новые магазины:</w:t>
      </w:r>
    </w:p>
    <w:p w:rsidR="00377E21" w:rsidRPr="009973CE" w:rsidRDefault="00377E21" w:rsidP="00377E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i/>
          <w:sz w:val="28"/>
          <w:szCs w:val="28"/>
        </w:rPr>
        <w:t>«Фермер Маг»</w:t>
      </w:r>
      <w:r w:rsidRPr="009973CE">
        <w:rPr>
          <w:rFonts w:ascii="Times New Roman" w:hAnsi="Times New Roman"/>
          <w:sz w:val="28"/>
          <w:szCs w:val="28"/>
        </w:rPr>
        <w:t xml:space="preserve"> КФХ </w:t>
      </w:r>
      <w:proofErr w:type="spellStart"/>
      <w:r w:rsidRPr="009973CE">
        <w:rPr>
          <w:rFonts w:ascii="Times New Roman" w:hAnsi="Times New Roman"/>
          <w:sz w:val="28"/>
          <w:szCs w:val="28"/>
        </w:rPr>
        <w:t>Ефанов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И.И. (продажа сельскохозяйственной продукции собственного производства),</w:t>
      </w:r>
    </w:p>
    <w:p w:rsidR="00377E21" w:rsidRPr="009973CE" w:rsidRDefault="00377E21" w:rsidP="00377E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973CE">
        <w:rPr>
          <w:rFonts w:ascii="Times New Roman" w:hAnsi="Times New Roman"/>
          <w:sz w:val="28"/>
          <w:szCs w:val="28"/>
        </w:rPr>
        <w:t>продовольственный  магазин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 </w:t>
      </w:r>
      <w:r w:rsidRPr="009973CE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9973CE">
        <w:rPr>
          <w:rFonts w:ascii="Times New Roman" w:hAnsi="Times New Roman"/>
          <w:i/>
          <w:sz w:val="28"/>
          <w:szCs w:val="28"/>
        </w:rPr>
        <w:t>Хуторокъ</w:t>
      </w:r>
      <w:proofErr w:type="spellEnd"/>
      <w:r w:rsidRPr="009973CE">
        <w:rPr>
          <w:rFonts w:ascii="Times New Roman" w:hAnsi="Times New Roman"/>
          <w:i/>
          <w:sz w:val="28"/>
          <w:szCs w:val="28"/>
        </w:rPr>
        <w:t>»</w:t>
      </w:r>
      <w:r w:rsidRPr="009973CE">
        <w:rPr>
          <w:rFonts w:ascii="Times New Roman" w:hAnsi="Times New Roman"/>
          <w:sz w:val="28"/>
          <w:szCs w:val="28"/>
        </w:rPr>
        <w:t xml:space="preserve"> (ИП </w:t>
      </w:r>
      <w:proofErr w:type="spellStart"/>
      <w:r w:rsidRPr="009973CE">
        <w:rPr>
          <w:rFonts w:ascii="Times New Roman" w:hAnsi="Times New Roman"/>
          <w:sz w:val="28"/>
          <w:szCs w:val="28"/>
        </w:rPr>
        <w:t>Киркора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М.И.);</w:t>
      </w:r>
    </w:p>
    <w:p w:rsidR="00377E21" w:rsidRPr="009973CE" w:rsidRDefault="00377E21" w:rsidP="00377E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магазин строительных товаров </w:t>
      </w:r>
      <w:r w:rsidRPr="009973CE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9973CE">
        <w:rPr>
          <w:rFonts w:ascii="Times New Roman" w:hAnsi="Times New Roman"/>
          <w:i/>
          <w:sz w:val="28"/>
          <w:szCs w:val="28"/>
        </w:rPr>
        <w:t>Строймаркет</w:t>
      </w:r>
      <w:proofErr w:type="spellEnd"/>
      <w:r w:rsidRPr="009973CE">
        <w:rPr>
          <w:rFonts w:ascii="Times New Roman" w:hAnsi="Times New Roman"/>
          <w:i/>
          <w:sz w:val="28"/>
          <w:szCs w:val="28"/>
        </w:rPr>
        <w:t>»</w:t>
      </w:r>
      <w:r w:rsidRPr="009973CE">
        <w:rPr>
          <w:rFonts w:ascii="Times New Roman" w:hAnsi="Times New Roman"/>
          <w:sz w:val="28"/>
          <w:szCs w:val="28"/>
        </w:rPr>
        <w:t xml:space="preserve"> (ООО «Олимпик»).</w:t>
      </w:r>
    </w:p>
    <w:p w:rsidR="00377E21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Объем частных инвестиций в строительство новых торговых объектов и реконструкцию действующих помещений составил за 2016 год 37,4 </w:t>
      </w:r>
      <w:proofErr w:type="spellStart"/>
      <w:r w:rsidRPr="009973CE">
        <w:rPr>
          <w:rFonts w:ascii="Times New Roman" w:hAnsi="Times New Roman"/>
          <w:sz w:val="28"/>
          <w:szCs w:val="28"/>
        </w:rPr>
        <w:t>млн.руб</w:t>
      </w:r>
      <w:proofErr w:type="spellEnd"/>
      <w:r w:rsidRPr="009973CE">
        <w:rPr>
          <w:rFonts w:ascii="Times New Roman" w:hAnsi="Times New Roman"/>
          <w:sz w:val="28"/>
          <w:szCs w:val="28"/>
        </w:rPr>
        <w:t>.</w:t>
      </w:r>
    </w:p>
    <w:p w:rsidR="000123A7" w:rsidRDefault="000123A7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3A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E749F2" wp14:editId="76C71224">
            <wp:extent cx="5940425" cy="3528695"/>
            <wp:effectExtent l="0" t="0" r="3175" b="1460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123A7" w:rsidRPr="000123A7" w:rsidRDefault="000123A7" w:rsidP="000123A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Рисунок</w:t>
      </w:r>
      <w:r w:rsidR="00965A43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№</w:t>
      </w:r>
      <w:proofErr w:type="gramEnd"/>
      <w:r w:rsidR="00965A43">
        <w:rPr>
          <w:rFonts w:ascii="Times New Roman" w:hAnsi="Times New Roman"/>
          <w:i/>
          <w:sz w:val="24"/>
          <w:szCs w:val="24"/>
        </w:rPr>
        <w:t>15</w:t>
      </w:r>
    </w:p>
    <w:p w:rsidR="000123A7" w:rsidRPr="009973CE" w:rsidRDefault="000123A7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77E21" w:rsidRPr="009973CE" w:rsidRDefault="00377E21" w:rsidP="00377E21">
      <w:pPr>
        <w:spacing w:before="75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i/>
          <w:sz w:val="28"/>
          <w:szCs w:val="28"/>
        </w:rPr>
        <w:t xml:space="preserve">      Оборот розничной торговли</w:t>
      </w:r>
      <w:r w:rsidRPr="009973CE">
        <w:rPr>
          <w:rFonts w:ascii="Times New Roman" w:hAnsi="Times New Roman"/>
          <w:sz w:val="28"/>
          <w:szCs w:val="28"/>
        </w:rPr>
        <w:t xml:space="preserve"> во всех каналах реализации составил 3008,7 </w:t>
      </w:r>
      <w:proofErr w:type="spellStart"/>
      <w:r w:rsidRPr="009973CE">
        <w:rPr>
          <w:rFonts w:ascii="Times New Roman" w:hAnsi="Times New Roman"/>
          <w:sz w:val="28"/>
          <w:szCs w:val="28"/>
        </w:rPr>
        <w:t>млн.руб</w:t>
      </w:r>
      <w:proofErr w:type="spellEnd"/>
      <w:r w:rsidRPr="009973CE">
        <w:rPr>
          <w:rFonts w:ascii="Times New Roman" w:hAnsi="Times New Roman"/>
          <w:sz w:val="28"/>
          <w:szCs w:val="28"/>
        </w:rPr>
        <w:t>., что в сопоставимых ценах ниже на 2,7% к 2015г. В том числе 98,6% оборота розничной торговли формировался торгующими организациями и индивидуальными предпринимателями, осуществляющими деятельность в стационарной торговой сети и 1,4% - за счет продажи товаров на розничных рынках и ярмарках.</w:t>
      </w: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Мобилизация платежей в бюджеты МО по виду экономической деятельности «оптовая и розничная торговля, а также торговля автотранспортными мотоциклами, их техническое обслуживание и ремонт» превысила показатели 2015 года в 2 раза.</w:t>
      </w: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Н</w:t>
      </w:r>
      <w:r w:rsidRPr="00997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потребительском рынке в муниципальном образовании ассортимент и уровень товарной насыщенности социально значимых продуктов питания достаточен. </w:t>
      </w:r>
      <w:r w:rsidRPr="009973CE">
        <w:rPr>
          <w:rFonts w:ascii="Times New Roman" w:hAnsi="Times New Roman"/>
          <w:sz w:val="28"/>
          <w:szCs w:val="28"/>
        </w:rPr>
        <w:t xml:space="preserve">На душу населения оборот розничной торговли составил </w:t>
      </w:r>
      <w:proofErr w:type="gramStart"/>
      <w:r w:rsidRPr="009973CE">
        <w:rPr>
          <w:rFonts w:ascii="Times New Roman" w:hAnsi="Times New Roman"/>
          <w:sz w:val="28"/>
          <w:szCs w:val="28"/>
        </w:rPr>
        <w:t>265621  рублей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, что превышает показатели других районов Сахалинской области (кроме г. Южно-Сахалинска 400210 руб.). </w:t>
      </w:r>
    </w:p>
    <w:p w:rsidR="00377E21" w:rsidRPr="009973CE" w:rsidRDefault="00377E21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Для поддержки малообеспеченных слоев населения созданы условия и обеспечено открытие в 2016 году 2 социально-ориентированных объектов розничной торговли. Цены на основные группы продовольственных товаров (более 25 наименований) сформированы ниже сложившихся в розничной торговле МО, с 10-15% наценкой. Увеличилось количество объектов с 6 до 9, включенных в проект «Доступная рыба». В сфере розничной торговли 7 предпринимателей (9 магазинов) участвуют в проекте, где торговая надбавка на </w:t>
      </w:r>
      <w:proofErr w:type="spellStart"/>
      <w:r w:rsidRPr="009973CE">
        <w:rPr>
          <w:rFonts w:ascii="Times New Roman" w:hAnsi="Times New Roman"/>
          <w:sz w:val="28"/>
          <w:szCs w:val="28"/>
        </w:rPr>
        <w:t>рыбопродукцию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не превышает 15%. Всего реализовано населению </w:t>
      </w:r>
      <w:proofErr w:type="spellStart"/>
      <w:r w:rsidRPr="009973CE">
        <w:rPr>
          <w:rFonts w:ascii="Times New Roman" w:hAnsi="Times New Roman"/>
          <w:sz w:val="28"/>
          <w:szCs w:val="28"/>
        </w:rPr>
        <w:t>рыбопродукции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 по доступным ценам за 2016 год 41 </w:t>
      </w:r>
      <w:proofErr w:type="spellStart"/>
      <w:r w:rsidRPr="009973CE">
        <w:rPr>
          <w:rFonts w:ascii="Times New Roman" w:hAnsi="Times New Roman"/>
          <w:sz w:val="28"/>
          <w:szCs w:val="28"/>
        </w:rPr>
        <w:t>тн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. Обеспечена </w:t>
      </w:r>
      <w:r w:rsidRPr="009973CE">
        <w:rPr>
          <w:rFonts w:ascii="Times New Roman" w:hAnsi="Times New Roman"/>
          <w:sz w:val="28"/>
          <w:szCs w:val="28"/>
        </w:rPr>
        <w:lastRenderedPageBreak/>
        <w:t>информационная открытость мониторинговой деятельности розничных цен путем размещения информации на сайте муниципального образования.</w:t>
      </w:r>
    </w:p>
    <w:p w:rsidR="00377E21" w:rsidRPr="009973CE" w:rsidRDefault="00377E21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По итогам проводимого мониторинга розничных цен (декабрь 2016г. к декабрю 2015г.) рост цен на продукты питания достиг показателя 3,9%, в том числе: на хлебобулочные </w:t>
      </w:r>
      <w:proofErr w:type="gramStart"/>
      <w:r w:rsidRPr="009973CE">
        <w:rPr>
          <w:rFonts w:ascii="Times New Roman" w:hAnsi="Times New Roman"/>
          <w:sz w:val="28"/>
          <w:szCs w:val="28"/>
        </w:rPr>
        <w:t>изделия  –</w:t>
      </w:r>
      <w:proofErr w:type="gramEnd"/>
      <w:r w:rsidRPr="009973CE">
        <w:rPr>
          <w:rFonts w:ascii="Times New Roman" w:hAnsi="Times New Roman"/>
          <w:sz w:val="28"/>
          <w:szCs w:val="28"/>
        </w:rPr>
        <w:t xml:space="preserve"> 6,8%, сахар – 5,6%, колбасы – 5,4%, рыбная продукция – 14,5%, свежие овощи – 1,5%, свежие фрукты – 8%. </w:t>
      </w:r>
    </w:p>
    <w:p w:rsidR="00377E21" w:rsidRDefault="00377E21" w:rsidP="00377E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С</w:t>
      </w:r>
      <w:r w:rsidRPr="009973CE">
        <w:rPr>
          <w:rFonts w:ascii="Times New Roman" w:eastAsia="Times New Roman" w:hAnsi="Times New Roman"/>
          <w:bCs/>
          <w:sz w:val="28"/>
          <w:szCs w:val="28"/>
          <w:lang w:eastAsia="ru-RU"/>
        </w:rPr>
        <w:t>табилизация ценовой ситуации решалась путем создания эффективной конкурентной среды как фактора сдерживания роста цен и предотвращения монополизации отдельных сегментов рынка, за счет</w:t>
      </w:r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проведения </w:t>
      </w:r>
      <w:proofErr w:type="spellStart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>выставочно</w:t>
      </w:r>
      <w:proofErr w:type="spellEnd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>-ярмарочных мероприятий. В 2016 году были проведены 7 сельскохозяйственных и новогодняя ярмарки, также ежедневно работает ярмарочная площадка на которой реализуют продукцию рыбаки любители, КФХ и граждане, имеющие личные подсобные хозяйства,</w:t>
      </w:r>
      <w:r w:rsidRPr="00997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97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сельхозтоваропроизводители</w:t>
      </w:r>
      <w:proofErr w:type="spellEnd"/>
      <w:r w:rsidRPr="009973C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 других районов Сахалинской области. </w:t>
      </w:r>
    </w:p>
    <w:p w:rsidR="000123A7" w:rsidRDefault="000123A7" w:rsidP="00377E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123A7" w:rsidRPr="009973CE" w:rsidRDefault="000123A7" w:rsidP="00377E21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23A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182280" wp14:editId="765B00E7">
            <wp:extent cx="5940425" cy="3256915"/>
            <wp:effectExtent l="0" t="0" r="3175" b="63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123A7" w:rsidRDefault="00965A43" w:rsidP="00965A43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Рисунок № 16</w:t>
      </w:r>
    </w:p>
    <w:p w:rsidR="000123A7" w:rsidRDefault="000123A7" w:rsidP="00377E2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7E21" w:rsidRPr="009973CE" w:rsidRDefault="00377E21" w:rsidP="00965A4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Pr="009973CE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Pr="009973CE">
        <w:rPr>
          <w:rFonts w:ascii="Times New Roman" w:hAnsi="Times New Roman"/>
          <w:i/>
          <w:sz w:val="28"/>
          <w:szCs w:val="28"/>
        </w:rPr>
        <w:t>фере общественного питания</w:t>
      </w:r>
      <w:r w:rsidRPr="009973CE">
        <w:rPr>
          <w:rFonts w:ascii="Times New Roman" w:hAnsi="Times New Roman"/>
          <w:sz w:val="28"/>
          <w:szCs w:val="28"/>
        </w:rPr>
        <w:t xml:space="preserve"> осуществляют деятельность 14 объектов общественного питания на 776 посадочных мест, из них 7 объектов общедоступной сети (кафе) на 330 посадочных мест.</w:t>
      </w:r>
    </w:p>
    <w:p w:rsidR="00377E21" w:rsidRPr="009973CE" w:rsidRDefault="00377E21" w:rsidP="00377E21">
      <w:pPr>
        <w:tabs>
          <w:tab w:val="left" w:pos="93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Норматив посадочных мест на одну тысячи жителей составляет – 40, с учетом фактически функционирующих предприятий общественного питания (</w:t>
      </w:r>
      <w:proofErr w:type="spellStart"/>
      <w:r w:rsidRPr="009973CE">
        <w:rPr>
          <w:rFonts w:ascii="Times New Roman" w:hAnsi="Times New Roman"/>
          <w:sz w:val="28"/>
          <w:szCs w:val="28"/>
        </w:rPr>
        <w:t>в.т.ч</w:t>
      </w:r>
      <w:proofErr w:type="spellEnd"/>
      <w:r w:rsidRPr="009973CE">
        <w:rPr>
          <w:rFonts w:ascii="Times New Roman" w:hAnsi="Times New Roman"/>
          <w:sz w:val="28"/>
          <w:szCs w:val="28"/>
        </w:rPr>
        <w:t>. школьные столовые) на 01.01.2017 года показатель составил 68, в том числе 29 посадочных мест являются общедоступными.</w:t>
      </w:r>
    </w:p>
    <w:p w:rsidR="00377E21" w:rsidRPr="009973CE" w:rsidRDefault="00377E21" w:rsidP="00377E21">
      <w:pPr>
        <w:tabs>
          <w:tab w:val="left" w:pos="93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Особенностью рынка общественного питания становятся услуги по доставке блюд и кулинарных изделий по заказу.</w:t>
      </w:r>
    </w:p>
    <w:p w:rsidR="00377E21" w:rsidRPr="009973CE" w:rsidRDefault="00377E21" w:rsidP="00377E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За счет реконструкции помещений открылось кафе «Лада» (ИП Юсифов Р.) на 32 посадочных места.</w:t>
      </w:r>
    </w:p>
    <w:p w:rsidR="00377E21" w:rsidRPr="009973CE" w:rsidRDefault="00377E21" w:rsidP="00377E2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lastRenderedPageBreak/>
        <w:t xml:space="preserve">          Объем частных инвестиций в общественное питание составил 2 </w:t>
      </w:r>
      <w:proofErr w:type="spellStart"/>
      <w:r w:rsidRPr="009973CE">
        <w:rPr>
          <w:rFonts w:ascii="Times New Roman" w:hAnsi="Times New Roman"/>
          <w:sz w:val="28"/>
          <w:szCs w:val="28"/>
        </w:rPr>
        <w:t>млн.руб</w:t>
      </w:r>
      <w:proofErr w:type="spellEnd"/>
      <w:r w:rsidRPr="009973CE">
        <w:rPr>
          <w:rFonts w:ascii="Times New Roman" w:hAnsi="Times New Roman"/>
          <w:sz w:val="28"/>
          <w:szCs w:val="28"/>
        </w:rPr>
        <w:t>.</w:t>
      </w:r>
    </w:p>
    <w:p w:rsidR="00377E21" w:rsidRPr="009973CE" w:rsidRDefault="00377E21" w:rsidP="00377E21">
      <w:pPr>
        <w:tabs>
          <w:tab w:val="left" w:pos="93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9973CE">
        <w:rPr>
          <w:rFonts w:ascii="Times New Roman" w:hAnsi="Times New Roman"/>
          <w:sz w:val="28"/>
          <w:szCs w:val="28"/>
        </w:rPr>
        <w:t xml:space="preserve">           Объем оборота общественного питания за 2016 год составил 1239,9 </w:t>
      </w:r>
      <w:proofErr w:type="spellStart"/>
      <w:r w:rsidRPr="009973CE">
        <w:rPr>
          <w:rFonts w:ascii="Times New Roman" w:hAnsi="Times New Roman"/>
          <w:sz w:val="28"/>
          <w:szCs w:val="28"/>
        </w:rPr>
        <w:t>млн.руб</w:t>
      </w:r>
      <w:proofErr w:type="spellEnd"/>
      <w:r w:rsidRPr="009973CE">
        <w:rPr>
          <w:rFonts w:ascii="Times New Roman" w:hAnsi="Times New Roman"/>
          <w:sz w:val="28"/>
          <w:szCs w:val="28"/>
        </w:rPr>
        <w:t xml:space="preserve">., в сопоставимых ценах к 2015 году произошло увеличение показателей на 13,7%. </w:t>
      </w:r>
    </w:p>
    <w:p w:rsidR="00377E21" w:rsidRPr="009973CE" w:rsidRDefault="00377E21" w:rsidP="00377E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73CE">
        <w:rPr>
          <w:rFonts w:ascii="Times New Roman" w:hAnsi="Times New Roman"/>
          <w:sz w:val="28"/>
          <w:szCs w:val="28"/>
        </w:rPr>
        <w:t xml:space="preserve">        </w:t>
      </w:r>
      <w:r w:rsidRPr="009973CE">
        <w:rPr>
          <w:rFonts w:ascii="Times New Roman" w:hAnsi="Times New Roman"/>
          <w:i/>
          <w:sz w:val="28"/>
          <w:szCs w:val="28"/>
        </w:rPr>
        <w:t>Сфера бытового обслуживания</w:t>
      </w:r>
      <w:r w:rsidRPr="009973CE">
        <w:rPr>
          <w:rFonts w:ascii="Times New Roman" w:hAnsi="Times New Roman"/>
          <w:sz w:val="28"/>
          <w:szCs w:val="28"/>
        </w:rPr>
        <w:t xml:space="preserve"> населения является одной из важнейших в обеспечении потребностей граждан в разнообразных видах услуг и относится к разряду социально значимых. Включает в себя 52 объекта. Рынок платных услуг населению представлен услугами:</w:t>
      </w:r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 по ремонту и пошиву обуви и швейных изделий, ремонту </w:t>
      </w:r>
      <w:proofErr w:type="spellStart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>радиоэлектроной</w:t>
      </w:r>
      <w:proofErr w:type="spellEnd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 аппаратуры, металлоизделий, ювелирным работам, услугами парикмахерских и косметических кабинетов, </w:t>
      </w:r>
      <w:proofErr w:type="spellStart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>фотоуслугами</w:t>
      </w:r>
      <w:proofErr w:type="spellEnd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, услугами бань и прачечных, по ремонту и строительству жилья, ритуальным, услугами </w:t>
      </w:r>
      <w:proofErr w:type="spellStart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>ТОиР</w:t>
      </w:r>
      <w:proofErr w:type="spellEnd"/>
      <w:r w:rsidRPr="009973CE">
        <w:rPr>
          <w:rFonts w:ascii="Times New Roman" w:eastAsia="Times New Roman" w:hAnsi="Times New Roman"/>
          <w:sz w:val="28"/>
          <w:szCs w:val="28"/>
          <w:lang w:eastAsia="ru-RU"/>
        </w:rPr>
        <w:t xml:space="preserve"> автотранспортных средств и др.</w:t>
      </w:r>
    </w:p>
    <w:p w:rsidR="00A6625F" w:rsidRPr="00154B34" w:rsidRDefault="00A6625F" w:rsidP="00377E21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A6625F" w:rsidRDefault="00377E21" w:rsidP="00377E21">
      <w:pPr>
        <w:tabs>
          <w:tab w:val="left" w:pos="933"/>
        </w:tabs>
        <w:jc w:val="both"/>
      </w:pPr>
      <w:bookmarkStart w:id="0" w:name="_GoBack"/>
      <w:r w:rsidRPr="00C414C8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972175" cy="3524250"/>
            <wp:effectExtent l="0" t="0" r="0" b="0"/>
            <wp:docPr id="13" name="Диаграмм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bookmarkEnd w:id="0"/>
    </w:p>
    <w:p w:rsidR="00377E21" w:rsidRPr="00A6625F" w:rsidRDefault="00377E21" w:rsidP="00A6625F">
      <w:pPr>
        <w:tabs>
          <w:tab w:val="left" w:pos="933"/>
        </w:tabs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6625F">
        <w:rPr>
          <w:rFonts w:ascii="Times New Roman" w:hAnsi="Times New Roman" w:cs="Times New Roman"/>
          <w:i/>
        </w:rPr>
        <w:t xml:space="preserve">Рисунок </w:t>
      </w:r>
      <w:r w:rsidR="00965A43">
        <w:rPr>
          <w:rFonts w:ascii="Times New Roman" w:hAnsi="Times New Roman" w:cs="Times New Roman"/>
          <w:i/>
        </w:rPr>
        <w:t>17</w:t>
      </w:r>
    </w:p>
    <w:p w:rsidR="00A6625F" w:rsidRDefault="00377E21" w:rsidP="00377E21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</w:p>
    <w:p w:rsidR="00377E21" w:rsidRPr="00042BB8" w:rsidRDefault="00377E21" w:rsidP="00A6625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hAnsi="Times New Roman"/>
          <w:sz w:val="28"/>
          <w:szCs w:val="28"/>
        </w:rPr>
        <w:t xml:space="preserve"> За 2016 год населению во всех секторах реализации было оказано </w:t>
      </w:r>
      <w:r w:rsidRPr="00042BB8">
        <w:rPr>
          <w:rFonts w:ascii="Times New Roman" w:hAnsi="Times New Roman"/>
          <w:i/>
          <w:sz w:val="28"/>
          <w:szCs w:val="28"/>
        </w:rPr>
        <w:t>платных услуг</w:t>
      </w:r>
      <w:r w:rsidRPr="00042BB8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42BB8">
        <w:rPr>
          <w:rFonts w:ascii="Times New Roman" w:hAnsi="Times New Roman"/>
          <w:iCs/>
          <w:sz w:val="28"/>
          <w:szCs w:val="28"/>
        </w:rPr>
        <w:t>на</w:t>
      </w:r>
      <w:r w:rsidRPr="00042BB8">
        <w:rPr>
          <w:rFonts w:ascii="Times New Roman" w:hAnsi="Times New Roman"/>
          <w:sz w:val="28"/>
          <w:szCs w:val="28"/>
        </w:rPr>
        <w:t xml:space="preserve"> сумму 668,8 млн. рублей, в сопоставимой оценке к 2015 году снижение объемов платных услуг произошло на 3,3%. </w:t>
      </w:r>
    </w:p>
    <w:p w:rsidR="00377E21" w:rsidRPr="00042BB8" w:rsidRDefault="00377E21" w:rsidP="00377E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hAnsi="Times New Roman"/>
          <w:sz w:val="28"/>
          <w:szCs w:val="28"/>
        </w:rPr>
        <w:t xml:space="preserve">Потребление платных услуг каждым жителем МО в ценовом выражении снизилось на 4,9% к прошлому году и </w:t>
      </w:r>
      <w:proofErr w:type="gramStart"/>
      <w:r w:rsidRPr="00042BB8">
        <w:rPr>
          <w:rFonts w:ascii="Times New Roman" w:hAnsi="Times New Roman"/>
          <w:sz w:val="28"/>
          <w:szCs w:val="28"/>
        </w:rPr>
        <w:t>составило  53805</w:t>
      </w:r>
      <w:proofErr w:type="gramEnd"/>
      <w:r w:rsidRPr="00042BB8">
        <w:rPr>
          <w:rFonts w:ascii="Times New Roman" w:hAnsi="Times New Roman"/>
          <w:sz w:val="28"/>
          <w:szCs w:val="28"/>
        </w:rPr>
        <w:t xml:space="preserve"> рублей. Это второй показатель по области после г. Южно-Сахалинск (197667 рублей).</w:t>
      </w:r>
    </w:p>
    <w:p w:rsidR="00377E21" w:rsidRPr="00042BB8" w:rsidRDefault="00377E21" w:rsidP="00377E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hAnsi="Times New Roman"/>
          <w:sz w:val="28"/>
          <w:szCs w:val="28"/>
        </w:rPr>
        <w:t xml:space="preserve"> Самыми востребованными в структуре рынка платных услуг остаются услуги обязательного характера: жилищно-коммунальные, услуги пассажирского транспорта и связи.</w:t>
      </w:r>
    </w:p>
    <w:p w:rsidR="00377E21" w:rsidRPr="00042BB8" w:rsidRDefault="00377E21" w:rsidP="00377E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hAnsi="Times New Roman"/>
          <w:sz w:val="28"/>
          <w:szCs w:val="28"/>
        </w:rPr>
        <w:lastRenderedPageBreak/>
        <w:t xml:space="preserve">В течение года жителям оказано </w:t>
      </w:r>
      <w:r w:rsidRPr="00042BB8">
        <w:rPr>
          <w:rFonts w:ascii="Times New Roman" w:hAnsi="Times New Roman"/>
          <w:i/>
          <w:sz w:val="28"/>
          <w:szCs w:val="28"/>
        </w:rPr>
        <w:t>бытовых услуг</w:t>
      </w:r>
      <w:r w:rsidRPr="00042BB8">
        <w:rPr>
          <w:rFonts w:ascii="Times New Roman" w:hAnsi="Times New Roman"/>
          <w:sz w:val="28"/>
          <w:szCs w:val="28"/>
        </w:rPr>
        <w:t xml:space="preserve"> на сумму 81,9 млн. рублей, снижение в сопоставимых ценах к показателю 2015 года составляет 0,9%. В пересчете на одного жителя потребление бытовых услуг за 2016 год снизилось в сравнении с 2015 годом на 2,8% и составило 6594 руб. Количество занятых в сфере бытовых услуг МО составляет 121 человек. </w:t>
      </w:r>
    </w:p>
    <w:p w:rsidR="00377E21" w:rsidRPr="00042BB8" w:rsidRDefault="00377E21" w:rsidP="00377E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hAnsi="Times New Roman"/>
          <w:sz w:val="28"/>
          <w:szCs w:val="28"/>
        </w:rPr>
        <w:t xml:space="preserve">Рост мобилизации платежей в бюджет МО по бытовым услугам увеличился на 14%, что говорит о том, что в целом, ситуация в сфере платных услуг на территории городского округа остается стабильной, что способствует росту показателей, современному развитию </w:t>
      </w:r>
      <w:proofErr w:type="gramStart"/>
      <w:r w:rsidRPr="00042BB8">
        <w:rPr>
          <w:rFonts w:ascii="Times New Roman" w:hAnsi="Times New Roman"/>
          <w:sz w:val="28"/>
          <w:szCs w:val="28"/>
        </w:rPr>
        <w:t>и  здоровой</w:t>
      </w:r>
      <w:proofErr w:type="gramEnd"/>
      <w:r w:rsidRPr="00042BB8">
        <w:rPr>
          <w:rFonts w:ascii="Times New Roman" w:hAnsi="Times New Roman"/>
          <w:sz w:val="28"/>
          <w:szCs w:val="28"/>
        </w:rPr>
        <w:t xml:space="preserve"> конкуренции в  данной сфере.</w:t>
      </w:r>
    </w:p>
    <w:p w:rsidR="00377E21" w:rsidRPr="00042BB8" w:rsidRDefault="00377E21" w:rsidP="00377E2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2BB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В МО гостиничное хозяйство насчитывает 5 объектов на 69 номеров (116 койко-мест). Количество занятых в этой сфере бизнеса составляет 27 человек. </w:t>
      </w:r>
    </w:p>
    <w:p w:rsidR="00377E21" w:rsidRPr="00042BB8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За счет привлечения частного капитала о</w:t>
      </w:r>
      <w:r w:rsidRPr="00042BB8">
        <w:rPr>
          <w:rFonts w:ascii="Times New Roman" w:hAnsi="Times New Roman"/>
          <w:sz w:val="28"/>
          <w:szCs w:val="28"/>
        </w:rPr>
        <w:t>ткрылась новая современная гостиница «Усадьба» на 16 номеров (ИП Путинцева Ю.В.). При гостинице работает кафе на 30 посадочных мест.</w:t>
      </w:r>
    </w:p>
    <w:p w:rsidR="00377E21" w:rsidRPr="00042BB8" w:rsidRDefault="00377E21" w:rsidP="00377E21">
      <w:pPr>
        <w:spacing w:after="0" w:line="240" w:lineRule="auto"/>
        <w:jc w:val="both"/>
        <w:rPr>
          <w:rFonts w:eastAsia="Times New Roman" w:cs="Arial CYR"/>
          <w:sz w:val="28"/>
          <w:szCs w:val="28"/>
          <w:lang w:eastAsia="ru-RU"/>
        </w:rPr>
      </w:pPr>
      <w:r w:rsidRPr="00042BB8">
        <w:rPr>
          <w:rFonts w:ascii="Times New Roman" w:hAnsi="Times New Roman"/>
          <w:sz w:val="28"/>
          <w:szCs w:val="28"/>
        </w:rPr>
        <w:t xml:space="preserve">         Объем </w:t>
      </w:r>
      <w:proofErr w:type="gramStart"/>
      <w:r w:rsidRPr="00042BB8">
        <w:rPr>
          <w:rFonts w:ascii="Times New Roman" w:hAnsi="Times New Roman"/>
          <w:sz w:val="28"/>
          <w:szCs w:val="28"/>
        </w:rPr>
        <w:t>частных инвестиций</w:t>
      </w:r>
      <w:proofErr w:type="gramEnd"/>
      <w:r w:rsidRPr="00042BB8">
        <w:rPr>
          <w:rFonts w:ascii="Times New Roman" w:hAnsi="Times New Roman"/>
          <w:sz w:val="28"/>
          <w:szCs w:val="28"/>
        </w:rPr>
        <w:t xml:space="preserve"> привлеченных в мероприятия по строительству новых объектов и по реконструкции помещений и ремонту объектов гостиничного хозяйства за 2016 год составил 11,5 </w:t>
      </w:r>
      <w:proofErr w:type="spellStart"/>
      <w:r w:rsidRPr="00042BB8">
        <w:rPr>
          <w:rFonts w:ascii="Times New Roman" w:hAnsi="Times New Roman"/>
          <w:sz w:val="28"/>
          <w:szCs w:val="28"/>
        </w:rPr>
        <w:t>млн.руб</w:t>
      </w:r>
      <w:proofErr w:type="spellEnd"/>
      <w:r w:rsidRPr="00042BB8">
        <w:rPr>
          <w:rFonts w:ascii="Times New Roman" w:hAnsi="Times New Roman"/>
          <w:sz w:val="28"/>
          <w:szCs w:val="28"/>
        </w:rPr>
        <w:t>.</w:t>
      </w:r>
    </w:p>
    <w:p w:rsidR="00377E21" w:rsidRPr="00042BB8" w:rsidRDefault="00377E21" w:rsidP="00377E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BB8">
        <w:rPr>
          <w:rFonts w:ascii="Times New Roman" w:hAnsi="Times New Roman"/>
          <w:sz w:val="28"/>
          <w:szCs w:val="28"/>
        </w:rPr>
        <w:t xml:space="preserve">         Мобилизация платежей в бюджеты МО по виду экономической деятельности «деятельность гостиниц и ресторанов» превысила показатели 2015 года в 2,6 раз.</w:t>
      </w:r>
    </w:p>
    <w:p w:rsidR="00965A43" w:rsidRDefault="00965A43" w:rsidP="00965A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2BB8" w:rsidRDefault="00042BB8" w:rsidP="00042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BB8">
        <w:rPr>
          <w:rFonts w:ascii="Times New Roman" w:hAnsi="Times New Roman" w:cs="Times New Roman"/>
          <w:b/>
          <w:sz w:val="28"/>
          <w:szCs w:val="28"/>
        </w:rPr>
        <w:t>Строительство</w:t>
      </w:r>
    </w:p>
    <w:p w:rsidR="00042BB8" w:rsidRPr="00042BB8" w:rsidRDefault="00042BB8" w:rsidP="00042B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259" w:rsidRDefault="00446259" w:rsidP="004462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Объем выполненных работ по виду деятельности</w:t>
      </w:r>
      <w:r w:rsidRPr="00042B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BB8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gramStart"/>
      <w:r w:rsidRPr="00042BB8">
        <w:rPr>
          <w:rFonts w:ascii="Times New Roman" w:hAnsi="Times New Roman" w:cs="Times New Roman"/>
          <w:b/>
          <w:i/>
          <w:sz w:val="28"/>
          <w:szCs w:val="28"/>
        </w:rPr>
        <w:t>Строительство»</w:t>
      </w:r>
      <w:r w:rsidRPr="00042B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42B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2016 году снизился и составил 92,1 процента к  уровню прошлого года.</w:t>
      </w:r>
    </w:p>
    <w:p w:rsidR="00965A43" w:rsidRPr="00042BB8" w:rsidRDefault="00965A43" w:rsidP="0044625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A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CAFD4" wp14:editId="27052209">
            <wp:extent cx="6016625" cy="3286125"/>
            <wp:effectExtent l="57150" t="57150" r="41275" b="4762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46259" w:rsidRPr="00446259" w:rsidRDefault="00446259" w:rsidP="00446259">
      <w:pPr>
        <w:ind w:firstLine="708"/>
        <w:jc w:val="center"/>
        <w:rPr>
          <w:rFonts w:ascii="Times New Roman" w:hAnsi="Times New Roman" w:cs="Times New Roman"/>
          <w:i/>
        </w:rPr>
      </w:pPr>
      <w:r w:rsidRPr="00446259">
        <w:rPr>
          <w:rFonts w:ascii="Times New Roman" w:hAnsi="Times New Roman" w:cs="Times New Roman"/>
          <w:i/>
        </w:rPr>
        <w:t>Рисунок №</w:t>
      </w:r>
      <w:r w:rsidR="00965A43">
        <w:rPr>
          <w:rFonts w:ascii="Times New Roman" w:hAnsi="Times New Roman" w:cs="Times New Roman"/>
          <w:i/>
        </w:rPr>
        <w:t xml:space="preserve"> 18</w:t>
      </w:r>
    </w:p>
    <w:p w:rsidR="00446259" w:rsidRPr="00042BB8" w:rsidRDefault="00446259" w:rsidP="004462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lastRenderedPageBreak/>
        <w:t xml:space="preserve">В рамках реализации муниципальных программ в сфере </w:t>
      </w:r>
      <w:r w:rsidRPr="00042BB8">
        <w:rPr>
          <w:rFonts w:ascii="Times New Roman" w:hAnsi="Times New Roman" w:cs="Times New Roman"/>
          <w:i/>
          <w:sz w:val="28"/>
          <w:szCs w:val="28"/>
        </w:rPr>
        <w:t>капитального строительства, градостроительства и развития территорий</w:t>
      </w:r>
      <w:r w:rsidRPr="00042BB8">
        <w:rPr>
          <w:rFonts w:ascii="Times New Roman" w:hAnsi="Times New Roman" w:cs="Times New Roman"/>
          <w:sz w:val="28"/>
          <w:szCs w:val="28"/>
        </w:rPr>
        <w:t xml:space="preserve"> реализованы следующие основные мероприятия:</w:t>
      </w:r>
    </w:p>
    <w:p w:rsidR="00446259" w:rsidRPr="00042BB8" w:rsidRDefault="00446259" w:rsidP="004462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1. Продолжилась работа по разработке документации по развитию системы градостроительного планирования.</w:t>
      </w:r>
    </w:p>
    <w:p w:rsidR="00446259" w:rsidRPr="00042BB8" w:rsidRDefault="00446259" w:rsidP="004462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      2.</w:t>
      </w:r>
      <w:r w:rsidRPr="00042BB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042BB8">
        <w:rPr>
          <w:rFonts w:ascii="Times New Roman" w:hAnsi="Times New Roman" w:cs="Times New Roman"/>
          <w:sz w:val="28"/>
          <w:szCs w:val="28"/>
        </w:rPr>
        <w:t>Проведена разработка проектно-сметной документации по объекту «Крытый корт в пгт. Ноглики». Начало строительство объекта – 2017 год. Ожидаемый срок ввода в эксплуатацию – 2019 год.</w:t>
      </w:r>
    </w:p>
    <w:p w:rsidR="00446259" w:rsidRPr="00042BB8" w:rsidRDefault="00446259" w:rsidP="00042BB8">
      <w:pPr>
        <w:widowControl w:val="0"/>
        <w:tabs>
          <w:tab w:val="left" w:pos="426"/>
        </w:tabs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2BB8">
        <w:rPr>
          <w:rFonts w:ascii="Times New Roman" w:hAnsi="Times New Roman" w:cs="Times New Roman"/>
          <w:bCs/>
          <w:sz w:val="28"/>
          <w:szCs w:val="28"/>
        </w:rPr>
        <w:t xml:space="preserve">  3.  Проведена разработка проектной документации по объекту «Полигон ТБО в Ногликском районе». Проектная документация направлена на государственную экспертизу. В 2017 году ожидается завершение работ по проектированию и начало строительство объекта.</w:t>
      </w:r>
    </w:p>
    <w:p w:rsidR="00446259" w:rsidRPr="00042BB8" w:rsidRDefault="00446259" w:rsidP="00042BB8">
      <w:pPr>
        <w:spacing w:after="0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2BB8">
        <w:rPr>
          <w:rFonts w:ascii="Times New Roman" w:hAnsi="Times New Roman" w:cs="Times New Roman"/>
          <w:b/>
          <w:i/>
          <w:sz w:val="28"/>
          <w:szCs w:val="28"/>
        </w:rPr>
        <w:t xml:space="preserve">Жилищное строительство </w:t>
      </w:r>
    </w:p>
    <w:p w:rsidR="00446259" w:rsidRPr="00042BB8" w:rsidRDefault="00446259" w:rsidP="00042BB8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В 2016 году в муниципальном образовании было введено общей площади жилых домов 0,98 </w:t>
      </w:r>
      <w:proofErr w:type="gramStart"/>
      <w:r w:rsidRPr="00042BB8">
        <w:rPr>
          <w:sz w:val="28"/>
          <w:szCs w:val="28"/>
        </w:rPr>
        <w:t>тыс.м.</w:t>
      </w:r>
      <w:r w:rsidRPr="00042BB8">
        <w:rPr>
          <w:sz w:val="28"/>
          <w:szCs w:val="28"/>
          <w:vertAlign w:val="superscript"/>
        </w:rPr>
        <w:t xml:space="preserve">2 </w:t>
      </w:r>
      <w:r w:rsidRPr="00042BB8">
        <w:rPr>
          <w:sz w:val="28"/>
          <w:szCs w:val="28"/>
        </w:rPr>
        <w:t>.</w:t>
      </w:r>
      <w:proofErr w:type="gramEnd"/>
      <w:r w:rsidRPr="00042BB8">
        <w:rPr>
          <w:sz w:val="28"/>
          <w:szCs w:val="28"/>
        </w:rPr>
        <w:t xml:space="preserve"> Ввод жилья обеспечен только за счет строительства индивидуального жилья населением, всего построено 8 </w:t>
      </w:r>
      <w:proofErr w:type="gramStart"/>
      <w:r w:rsidRPr="00042BB8">
        <w:rPr>
          <w:sz w:val="28"/>
          <w:szCs w:val="28"/>
        </w:rPr>
        <w:t>индивидуальных  жилых</w:t>
      </w:r>
      <w:proofErr w:type="gramEnd"/>
      <w:r w:rsidRPr="00042BB8">
        <w:rPr>
          <w:sz w:val="28"/>
          <w:szCs w:val="28"/>
        </w:rPr>
        <w:t xml:space="preserve"> домов. 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Так как в отчетном году строительство многоквартирных жилых домов на территории муниципального образования «Городской округ Ногликский» не велось, общая площадь введенного жилья по сравнению с 2015 годом снизилась в 7 раз. 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При этом в течение всего года велась подготовительная работа: проведение дополнительных инженерных изысканий (в том числе экологические), проведение государственной экспертизы разработанной ранее проектной документации, формирование земельных участков, обеспечение земельных участков инженерной, транспортной и социальной инфраструктурой.</w:t>
      </w:r>
    </w:p>
    <w:p w:rsidR="00446259" w:rsidRPr="00042BB8" w:rsidRDefault="00446259" w:rsidP="004462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Был утвержден Проект планировки территории и проект межевания территории микрорайона УЖД пгт. Ноглики. На территории микрорайона УЖД планируется строительство новых многоквартирных домов. В течение 2016 года ОКУ «Дирекция по реализации программ строительства Сахалинской области» уже начато проектирование многоквартирных домов, в которые планируется переселение граждан, проживающих в аварийных домах.</w:t>
      </w:r>
    </w:p>
    <w:p w:rsidR="00446259" w:rsidRPr="00446259" w:rsidRDefault="00446259" w:rsidP="00446259">
      <w:pPr>
        <w:pStyle w:val="a9"/>
        <w:spacing w:before="0" w:beforeAutospacing="0" w:after="0" w:afterAutospacing="0"/>
        <w:ind w:firstLine="720"/>
        <w:jc w:val="both"/>
        <w:rPr>
          <w:sz w:val="26"/>
          <w:szCs w:val="26"/>
        </w:rPr>
      </w:pPr>
    </w:p>
    <w:p w:rsidR="00446259" w:rsidRDefault="00446259" w:rsidP="00446259">
      <w:pPr>
        <w:jc w:val="both"/>
        <w:rPr>
          <w:sz w:val="26"/>
          <w:szCs w:val="26"/>
        </w:rPr>
      </w:pPr>
      <w:r w:rsidRPr="00460205">
        <w:rPr>
          <w:rStyle w:val="a8"/>
          <w:noProof/>
          <w:lang w:eastAsia="ru-RU"/>
        </w:rPr>
        <w:lastRenderedPageBreak/>
        <w:drawing>
          <wp:inline distT="0" distB="0" distL="0" distR="0">
            <wp:extent cx="6339205" cy="4419600"/>
            <wp:effectExtent l="0" t="0" r="4445" b="0"/>
            <wp:docPr id="19" name="Диаграмм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46259" w:rsidRPr="00446259" w:rsidRDefault="00446259" w:rsidP="00446259">
      <w:pPr>
        <w:tabs>
          <w:tab w:val="left" w:pos="6630"/>
        </w:tabs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</w:rPr>
        <w:t xml:space="preserve">Рисунок </w:t>
      </w:r>
      <w:r w:rsidR="00965A43">
        <w:rPr>
          <w:rFonts w:ascii="Times New Roman" w:hAnsi="Times New Roman" w:cs="Times New Roman"/>
          <w:i/>
        </w:rPr>
        <w:t>№ 19</w:t>
      </w:r>
    </w:p>
    <w:p w:rsidR="005067F6" w:rsidRDefault="005067F6" w:rsidP="005067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6259" w:rsidRPr="005067F6" w:rsidRDefault="005067F6" w:rsidP="005067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7F6">
        <w:rPr>
          <w:rFonts w:ascii="Times New Roman" w:hAnsi="Times New Roman" w:cs="Times New Roman"/>
          <w:b/>
          <w:sz w:val="28"/>
          <w:szCs w:val="28"/>
        </w:rPr>
        <w:t>Городское хозяйство</w:t>
      </w:r>
    </w:p>
    <w:p w:rsidR="005067F6" w:rsidRPr="005067F6" w:rsidRDefault="005067F6" w:rsidP="005067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6259" w:rsidRPr="00042BB8" w:rsidRDefault="00446259" w:rsidP="00446259">
      <w:pPr>
        <w:pStyle w:val="a9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По состоянию на 1 января 2017 года </w:t>
      </w:r>
      <w:r w:rsidRPr="00042BB8">
        <w:rPr>
          <w:i/>
          <w:sz w:val="28"/>
          <w:szCs w:val="28"/>
        </w:rPr>
        <w:t>сфера жилищно-коммунального хозяйства</w:t>
      </w:r>
      <w:r w:rsidRPr="00042BB8">
        <w:rPr>
          <w:sz w:val="28"/>
          <w:szCs w:val="28"/>
        </w:rPr>
        <w:t xml:space="preserve"> в муниципальном образовании была представлена 9-ю   компаниями (</w:t>
      </w:r>
      <w:r w:rsidRPr="00042BB8">
        <w:rPr>
          <w:i/>
          <w:sz w:val="28"/>
          <w:szCs w:val="28"/>
        </w:rPr>
        <w:t>ОАО «Ногликская газовая электростанция», ООАО «</w:t>
      </w:r>
      <w:proofErr w:type="spellStart"/>
      <w:r w:rsidRPr="00042BB8">
        <w:rPr>
          <w:i/>
          <w:sz w:val="28"/>
          <w:szCs w:val="28"/>
        </w:rPr>
        <w:t>Сахоблгаз</w:t>
      </w:r>
      <w:proofErr w:type="spellEnd"/>
      <w:r w:rsidRPr="00042BB8">
        <w:rPr>
          <w:i/>
          <w:sz w:val="28"/>
          <w:szCs w:val="28"/>
        </w:rPr>
        <w:t xml:space="preserve">» -   участок №6, ООО «Газпром </w:t>
      </w:r>
      <w:proofErr w:type="spellStart"/>
      <w:r w:rsidRPr="00042BB8">
        <w:rPr>
          <w:i/>
          <w:sz w:val="28"/>
          <w:szCs w:val="28"/>
        </w:rPr>
        <w:t>межрайгаз</w:t>
      </w:r>
      <w:proofErr w:type="spellEnd"/>
      <w:r w:rsidRPr="00042BB8">
        <w:rPr>
          <w:i/>
          <w:sz w:val="28"/>
          <w:szCs w:val="28"/>
        </w:rPr>
        <w:t xml:space="preserve"> Дальний Восток Сахалинской области», МУП «Водоканал», МУП «Управляющая организация Ноглики», ООО «</w:t>
      </w:r>
      <w:proofErr w:type="spellStart"/>
      <w:r w:rsidRPr="00042BB8">
        <w:rPr>
          <w:i/>
          <w:sz w:val="28"/>
          <w:szCs w:val="28"/>
        </w:rPr>
        <w:t>Жилсервис</w:t>
      </w:r>
      <w:proofErr w:type="spellEnd"/>
      <w:r w:rsidRPr="00042BB8">
        <w:rPr>
          <w:i/>
          <w:sz w:val="28"/>
          <w:szCs w:val="28"/>
        </w:rPr>
        <w:t>» и три ТСЖ</w:t>
      </w:r>
      <w:r w:rsidRPr="00042BB8">
        <w:rPr>
          <w:sz w:val="28"/>
          <w:szCs w:val="28"/>
        </w:rPr>
        <w:t xml:space="preserve">), оказывающих услуги в данной сфере, 2 из которых являются муниципальными, в том числе 1 является многоотраслевым. предприятие. </w:t>
      </w:r>
      <w:r w:rsidRPr="00042BB8">
        <w:rPr>
          <w:color w:val="C00000"/>
          <w:sz w:val="28"/>
          <w:szCs w:val="28"/>
        </w:rPr>
        <w:t xml:space="preserve"> </w:t>
      </w:r>
      <w:r w:rsidRPr="00042BB8">
        <w:rPr>
          <w:sz w:val="28"/>
          <w:szCs w:val="28"/>
        </w:rPr>
        <w:t>Содержанием и текущим ремонтом жилья заняты 5 организаций, в том числе 3 ТСЖ.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Среднесписочная численность работников в отрасли – 477 человек.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В 2016 году объем доходов предприятий сферы ЖКХ увеличился и составил 103 процента к уровню 2015 года (доходы 2015 г. - 439,0 </w:t>
      </w:r>
      <w:proofErr w:type="gramStart"/>
      <w:r w:rsidRPr="00042BB8">
        <w:rPr>
          <w:sz w:val="28"/>
          <w:szCs w:val="28"/>
        </w:rPr>
        <w:t>млн</w:t>
      </w:r>
      <w:r w:rsidR="005067F6" w:rsidRPr="00042BB8">
        <w:rPr>
          <w:sz w:val="28"/>
          <w:szCs w:val="28"/>
        </w:rPr>
        <w:t xml:space="preserve"> </w:t>
      </w:r>
      <w:r w:rsidRPr="00042BB8">
        <w:rPr>
          <w:sz w:val="28"/>
          <w:szCs w:val="28"/>
        </w:rPr>
        <w:t>.рублей</w:t>
      </w:r>
      <w:proofErr w:type="gramEnd"/>
      <w:r w:rsidRPr="00042BB8">
        <w:rPr>
          <w:sz w:val="28"/>
          <w:szCs w:val="28"/>
        </w:rPr>
        <w:t>),   затраты на производство жилищно-коммунальных услуг составили 102,4 процента к уровню прошлого года (факт 2016 г. – 607,8 млн.</w:t>
      </w:r>
      <w:r w:rsidR="005067F6" w:rsidRPr="00042BB8">
        <w:rPr>
          <w:sz w:val="28"/>
          <w:szCs w:val="28"/>
        </w:rPr>
        <w:t xml:space="preserve"> </w:t>
      </w:r>
      <w:r w:rsidRPr="00042BB8">
        <w:rPr>
          <w:sz w:val="28"/>
          <w:szCs w:val="28"/>
        </w:rPr>
        <w:t>рублей).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За счет средств областного и местного бюджетов предприятиям сферы ЖКХ произведено финансирование недополученных доходов и убытков на сумму 156,5 млн. рублей (факт 2015 года – 144,3 млн. рублей).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lastRenderedPageBreak/>
        <w:t>По оценке сальдированный финансовый результат предприятий отрасли сложился в виде убытков в размере 14 млн.</w:t>
      </w:r>
      <w:r w:rsidR="005067F6" w:rsidRPr="00042BB8">
        <w:rPr>
          <w:sz w:val="28"/>
          <w:szCs w:val="28"/>
        </w:rPr>
        <w:t xml:space="preserve"> </w:t>
      </w:r>
      <w:r w:rsidRPr="00042BB8">
        <w:rPr>
          <w:sz w:val="28"/>
          <w:szCs w:val="28"/>
        </w:rPr>
        <w:t>рублей (факт 2015г. – убыток 42,1 млн.</w:t>
      </w:r>
      <w:r w:rsidR="005067F6" w:rsidRPr="00042BB8">
        <w:rPr>
          <w:sz w:val="28"/>
          <w:szCs w:val="28"/>
        </w:rPr>
        <w:t xml:space="preserve"> </w:t>
      </w:r>
      <w:r w:rsidRPr="00042BB8">
        <w:rPr>
          <w:sz w:val="28"/>
          <w:szCs w:val="28"/>
        </w:rPr>
        <w:t>рублей).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Задолженность всех потребителей перед муниципальными предприятиями ЖКХ за оказанные услуги в отчетном году сохранилась на уровне 2015 года </w:t>
      </w:r>
      <w:proofErr w:type="gramStart"/>
      <w:r w:rsidRPr="00042BB8">
        <w:rPr>
          <w:sz w:val="28"/>
          <w:szCs w:val="28"/>
        </w:rPr>
        <w:t>и  составила</w:t>
      </w:r>
      <w:proofErr w:type="gramEnd"/>
      <w:r w:rsidRPr="00042BB8">
        <w:rPr>
          <w:sz w:val="28"/>
          <w:szCs w:val="28"/>
        </w:rPr>
        <w:t xml:space="preserve"> 165,6 млн.</w:t>
      </w:r>
      <w:r w:rsidR="005067F6" w:rsidRPr="00042BB8">
        <w:rPr>
          <w:sz w:val="28"/>
          <w:szCs w:val="28"/>
        </w:rPr>
        <w:t xml:space="preserve"> </w:t>
      </w:r>
      <w:r w:rsidRPr="00042BB8">
        <w:rPr>
          <w:sz w:val="28"/>
          <w:szCs w:val="28"/>
        </w:rPr>
        <w:t xml:space="preserve">рублей. 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В структуре задолженности доля неплатежей населения составляет 69 процентов. 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Собираемость платежей населения на 1 января 2017 года составила 93,9 процентов (уровень 2015 г. -94,6 процента).</w:t>
      </w:r>
    </w:p>
    <w:p w:rsidR="00446259" w:rsidRPr="00042BB8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6259" w:rsidRPr="005C6ED4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446259" w:rsidRPr="005C6ED4" w:rsidRDefault="00446259" w:rsidP="00446259">
      <w:pPr>
        <w:ind w:firstLine="708"/>
        <w:jc w:val="center"/>
        <w:rPr>
          <w:b/>
          <w:sz w:val="28"/>
          <w:szCs w:val="28"/>
        </w:rPr>
      </w:pPr>
      <w:r w:rsidRPr="005C6ED4">
        <w:rPr>
          <w:b/>
          <w:sz w:val="28"/>
          <w:szCs w:val="28"/>
        </w:rPr>
        <w:t xml:space="preserve">Структура задолженности потребителей за услуги ЖКХ  </w:t>
      </w:r>
    </w:p>
    <w:p w:rsidR="00446259" w:rsidRPr="005C6ED4" w:rsidRDefault="00446259" w:rsidP="00446259">
      <w:pPr>
        <w:ind w:firstLine="708"/>
        <w:jc w:val="center"/>
        <w:rPr>
          <w:b/>
          <w:sz w:val="28"/>
          <w:szCs w:val="28"/>
        </w:rPr>
      </w:pPr>
      <w:r w:rsidRPr="005C6ED4">
        <w:rPr>
          <w:b/>
          <w:sz w:val="28"/>
          <w:szCs w:val="28"/>
        </w:rPr>
        <w:t>(</w:t>
      </w:r>
      <w:proofErr w:type="spellStart"/>
      <w:r w:rsidRPr="005C6ED4">
        <w:rPr>
          <w:b/>
          <w:sz w:val="28"/>
          <w:szCs w:val="28"/>
        </w:rPr>
        <w:t>млн.рублей</w:t>
      </w:r>
      <w:proofErr w:type="spellEnd"/>
      <w:r w:rsidRPr="005C6ED4">
        <w:rPr>
          <w:b/>
          <w:sz w:val="28"/>
          <w:szCs w:val="28"/>
        </w:rPr>
        <w:t>)</w:t>
      </w:r>
    </w:p>
    <w:p w:rsidR="00446259" w:rsidRDefault="00446259" w:rsidP="00446259">
      <w:pPr>
        <w:jc w:val="both"/>
        <w:rPr>
          <w:sz w:val="26"/>
          <w:szCs w:val="26"/>
        </w:rPr>
      </w:pPr>
      <w:r w:rsidRPr="00380264">
        <w:rPr>
          <w:b/>
          <w:noProof/>
          <w:lang w:eastAsia="ru-RU"/>
        </w:rPr>
        <w:drawing>
          <wp:inline distT="0" distB="0" distL="0" distR="0">
            <wp:extent cx="5943600" cy="3086100"/>
            <wp:effectExtent l="0" t="0" r="0" b="0"/>
            <wp:docPr id="18" name="Диаграмм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46259" w:rsidRPr="005067F6" w:rsidRDefault="005067F6" w:rsidP="005067F6">
      <w:pPr>
        <w:pStyle w:val="a9"/>
        <w:spacing w:before="0" w:beforeAutospacing="0" w:after="0" w:afterAutospacing="0"/>
        <w:ind w:firstLine="567"/>
        <w:jc w:val="center"/>
        <w:rPr>
          <w:i/>
        </w:rPr>
      </w:pPr>
      <w:r w:rsidRPr="005067F6">
        <w:rPr>
          <w:i/>
        </w:rPr>
        <w:t xml:space="preserve">Рисунок </w:t>
      </w:r>
      <w:r w:rsidR="00965A43">
        <w:rPr>
          <w:i/>
        </w:rPr>
        <w:t>№ 20</w:t>
      </w:r>
    </w:p>
    <w:p w:rsidR="005067F6" w:rsidRPr="004639B1" w:rsidRDefault="005067F6" w:rsidP="00446259">
      <w:pPr>
        <w:pStyle w:val="a9"/>
        <w:spacing w:before="0" w:beforeAutospacing="0" w:after="0" w:afterAutospacing="0"/>
        <w:ind w:firstLine="567"/>
        <w:jc w:val="both"/>
        <w:rPr>
          <w:color w:val="FF0000"/>
          <w:sz w:val="28"/>
          <w:szCs w:val="28"/>
        </w:rPr>
      </w:pPr>
    </w:p>
    <w:p w:rsidR="00446259" w:rsidRPr="00EB0135" w:rsidRDefault="00446259" w:rsidP="00446259">
      <w:pPr>
        <w:pStyle w:val="a9"/>
        <w:spacing w:before="0" w:beforeAutospacing="0" w:after="0" w:afterAutospacing="0"/>
        <w:ind w:firstLine="567"/>
        <w:jc w:val="both"/>
        <w:rPr>
          <w:color w:val="C00000"/>
          <w:sz w:val="28"/>
          <w:szCs w:val="28"/>
        </w:rPr>
      </w:pPr>
      <w:r w:rsidRPr="00186DCC">
        <w:rPr>
          <w:sz w:val="28"/>
          <w:szCs w:val="28"/>
        </w:rPr>
        <w:t>Из общей суммы задолженности за услуги ЖКХ доля просроченной задолженности составила 66,7 процента</w:t>
      </w:r>
      <w:r>
        <w:rPr>
          <w:sz w:val="28"/>
          <w:szCs w:val="28"/>
        </w:rPr>
        <w:t xml:space="preserve"> (факт 2015 г. – 71,3 </w:t>
      </w:r>
      <w:r w:rsidRPr="0014201F">
        <w:rPr>
          <w:sz w:val="28"/>
          <w:szCs w:val="28"/>
        </w:rPr>
        <w:t>процента).</w:t>
      </w:r>
    </w:p>
    <w:p w:rsidR="00446259" w:rsidRPr="005C6ED4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067F6" w:rsidRDefault="005067F6" w:rsidP="00042BB8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5067F6" w:rsidRDefault="005067F6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46259" w:rsidRPr="005C6ED4" w:rsidRDefault="00446259" w:rsidP="00446259">
      <w:pPr>
        <w:pStyle w:val="a9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5C6ED4">
        <w:rPr>
          <w:b/>
          <w:sz w:val="28"/>
          <w:szCs w:val="28"/>
        </w:rPr>
        <w:lastRenderedPageBreak/>
        <w:t>Объем просроченной задолженности в общей сумме задолженности за услуги ЖКХ всеми потребителями (</w:t>
      </w:r>
      <w:proofErr w:type="spellStart"/>
      <w:r w:rsidRPr="005C6ED4">
        <w:rPr>
          <w:b/>
          <w:sz w:val="28"/>
          <w:szCs w:val="28"/>
        </w:rPr>
        <w:t>млн.руб</w:t>
      </w:r>
      <w:proofErr w:type="spellEnd"/>
      <w:r w:rsidRPr="005C6ED4">
        <w:rPr>
          <w:b/>
          <w:sz w:val="28"/>
          <w:szCs w:val="28"/>
        </w:rPr>
        <w:t xml:space="preserve">.) </w:t>
      </w:r>
    </w:p>
    <w:p w:rsidR="00446259" w:rsidRPr="005C6ED4" w:rsidRDefault="00446259" w:rsidP="00446259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965A43" w:rsidRPr="00965A43" w:rsidRDefault="00446259" w:rsidP="00965A43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358E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05500" cy="2165350"/>
            <wp:effectExtent l="0" t="0" r="0" b="0"/>
            <wp:docPr id="17" name="Диаграмм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5067F6" w:rsidRPr="005067F6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965A43">
        <w:rPr>
          <w:rFonts w:ascii="Times New Roman" w:hAnsi="Times New Roman" w:cs="Times New Roman"/>
          <w:i/>
          <w:sz w:val="24"/>
          <w:szCs w:val="24"/>
        </w:rPr>
        <w:t>№ 21</w:t>
      </w:r>
    </w:p>
    <w:p w:rsidR="00965A43" w:rsidRDefault="00965A43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Общая площадь жилищного фонда городского округа по состоянию на 01.01.2017 года составила 291,7 тыс. кв. м., из которых 40,9 тыс. кв. м (или 14,3 %) признаны ветхими и аварийным. 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Около 26,1 тыс. кв. м площади жилищного фонда имеет износ более 66%.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В течение 2016 года в</w:t>
      </w:r>
      <w:r w:rsidRPr="00042B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BB8">
        <w:rPr>
          <w:rFonts w:ascii="Times New Roman" w:hAnsi="Times New Roman" w:cs="Times New Roman"/>
          <w:sz w:val="28"/>
          <w:szCs w:val="28"/>
        </w:rPr>
        <w:t>сфере</w:t>
      </w:r>
      <w:r w:rsidRPr="00042BB8">
        <w:rPr>
          <w:rFonts w:ascii="Times New Roman" w:hAnsi="Times New Roman" w:cs="Times New Roman"/>
          <w:b/>
          <w:i/>
          <w:sz w:val="28"/>
          <w:szCs w:val="28"/>
        </w:rPr>
        <w:t xml:space="preserve"> «жилищное </w:t>
      </w:r>
      <w:proofErr w:type="gramStart"/>
      <w:r w:rsidRPr="00042BB8">
        <w:rPr>
          <w:rFonts w:ascii="Times New Roman" w:hAnsi="Times New Roman" w:cs="Times New Roman"/>
          <w:b/>
          <w:i/>
          <w:sz w:val="28"/>
          <w:szCs w:val="28"/>
        </w:rPr>
        <w:t>хозяйство»</w:t>
      </w:r>
      <w:r w:rsidRPr="00042BB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>в рамках реализации областной программы  «Капитальный ремонт общего имущества в многоквартирных домах, расположенных на территории Сахалинской области на 2014-2043 годы» и муниципальной  программы «Обеспечение населения муниципального образования «Городской округ Ногликский» качественными услугами жилищно-коммунального хозяйства на 2015-2020 годы» :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- осуществлен капитальный ремонт 7 домов в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пгт.Ноглики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 xml:space="preserve"> (организатор работ -  некоммерческая организация «Фонд капитального ремонта МКД Сахалинской области») и 11 домов (заказчик – администрация муниципального образования) в населенных 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пунктах  Ныш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>, Вал, Ноглики;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- снесены 11 аварийных дома, расположенных в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с.Катангли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пгт.Ноглики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.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Кроме этого в рамках реализации мероприятий муниципальных программ </w:t>
      </w:r>
      <w:r w:rsidRPr="00042BB8">
        <w:rPr>
          <w:rFonts w:ascii="Times New Roman" w:hAnsi="Times New Roman" w:cs="Times New Roman"/>
          <w:i/>
          <w:sz w:val="28"/>
          <w:szCs w:val="28"/>
        </w:rPr>
        <w:t xml:space="preserve">в сфере ЖКХ, дорожного хозяйства и благоустройства населенных пунктов </w:t>
      </w:r>
      <w:r w:rsidRPr="00042BB8">
        <w:rPr>
          <w:rFonts w:ascii="Times New Roman" w:hAnsi="Times New Roman" w:cs="Times New Roman"/>
          <w:sz w:val="28"/>
          <w:szCs w:val="28"/>
        </w:rPr>
        <w:t>реализованы следующие основные мероприятия: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В</w:t>
      </w:r>
      <w:r w:rsidRPr="00042BB8">
        <w:rPr>
          <w:b/>
          <w:sz w:val="28"/>
          <w:szCs w:val="28"/>
        </w:rPr>
        <w:t xml:space="preserve"> </w:t>
      </w:r>
      <w:r w:rsidRPr="00042BB8">
        <w:rPr>
          <w:sz w:val="28"/>
          <w:szCs w:val="28"/>
        </w:rPr>
        <w:t>сфере</w:t>
      </w:r>
      <w:r w:rsidRPr="00042BB8">
        <w:rPr>
          <w:b/>
          <w:i/>
          <w:sz w:val="28"/>
          <w:szCs w:val="28"/>
        </w:rPr>
        <w:t xml:space="preserve"> «коммунальное хозяйство»</w:t>
      </w:r>
      <w:r w:rsidRPr="00042BB8">
        <w:rPr>
          <w:sz w:val="28"/>
          <w:szCs w:val="28"/>
        </w:rPr>
        <w:t xml:space="preserve">: </w:t>
      </w:r>
    </w:p>
    <w:p w:rsidR="00446259" w:rsidRPr="00042BB8" w:rsidRDefault="00446259" w:rsidP="005067F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        1. завершены работы по объекту «Водозабор на Северо-</w:t>
      </w:r>
      <w:proofErr w:type="spellStart"/>
      <w:r w:rsidRPr="00042BB8">
        <w:rPr>
          <w:sz w:val="28"/>
          <w:szCs w:val="28"/>
        </w:rPr>
        <w:t>Уйглекутском</w:t>
      </w:r>
      <w:proofErr w:type="spellEnd"/>
      <w:r w:rsidRPr="00042BB8">
        <w:rPr>
          <w:sz w:val="28"/>
          <w:szCs w:val="28"/>
        </w:rPr>
        <w:t xml:space="preserve"> месторождении».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2. продолжалась работа по разработке проектно-сметной документации по объекту «Водозабор в с. Ныш»,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lastRenderedPageBreak/>
        <w:t xml:space="preserve">3. Проведены инженерные изыскания для строительства водозаборов в </w:t>
      </w:r>
      <w:proofErr w:type="spellStart"/>
      <w:r w:rsidRPr="00042BB8">
        <w:rPr>
          <w:sz w:val="28"/>
          <w:szCs w:val="28"/>
        </w:rPr>
        <w:t>с.Вал</w:t>
      </w:r>
      <w:proofErr w:type="spellEnd"/>
      <w:r w:rsidRPr="00042BB8">
        <w:rPr>
          <w:sz w:val="28"/>
          <w:szCs w:val="28"/>
        </w:rPr>
        <w:t>.</w:t>
      </w:r>
    </w:p>
    <w:p w:rsidR="00446259" w:rsidRPr="00042BB8" w:rsidRDefault="00446259" w:rsidP="005067F6">
      <w:pPr>
        <w:pStyle w:val="a9"/>
        <w:tabs>
          <w:tab w:val="left" w:pos="0"/>
        </w:tabs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 w:rsidRPr="00042BB8">
        <w:rPr>
          <w:sz w:val="28"/>
          <w:szCs w:val="28"/>
        </w:rPr>
        <w:t xml:space="preserve">         4. начато строительство напорного коллектора и самотечных сетей канализации микрорайона №3 пгт. Ноглики – 1 этап.</w:t>
      </w:r>
      <w:r w:rsidRPr="00042BB8">
        <w:rPr>
          <w:sz w:val="28"/>
          <w:szCs w:val="28"/>
          <w:highlight w:val="yellow"/>
        </w:rPr>
        <w:t xml:space="preserve"> 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5. выполнен капитальный ремонт:</w:t>
      </w:r>
    </w:p>
    <w:p w:rsidR="00446259" w:rsidRPr="00042BB8" w:rsidRDefault="00446259" w:rsidP="005067F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      - системы водоснабжения – заменено 494 погонных метра, в том числе на участке </w:t>
      </w:r>
      <w:proofErr w:type="spellStart"/>
      <w:r w:rsidRPr="00042BB8">
        <w:rPr>
          <w:sz w:val="28"/>
          <w:szCs w:val="28"/>
        </w:rPr>
        <w:t>ул.Штернберга</w:t>
      </w:r>
      <w:proofErr w:type="spellEnd"/>
      <w:r w:rsidRPr="00042BB8">
        <w:rPr>
          <w:sz w:val="28"/>
          <w:szCs w:val="28"/>
        </w:rPr>
        <w:t xml:space="preserve"> – Квартал 8, на участке </w:t>
      </w:r>
      <w:proofErr w:type="spellStart"/>
      <w:r w:rsidRPr="00042BB8">
        <w:rPr>
          <w:sz w:val="28"/>
          <w:szCs w:val="28"/>
        </w:rPr>
        <w:t>Мостоотряд</w:t>
      </w:r>
      <w:proofErr w:type="spellEnd"/>
      <w:r w:rsidRPr="00042BB8">
        <w:rPr>
          <w:sz w:val="28"/>
          <w:szCs w:val="28"/>
        </w:rPr>
        <w:t xml:space="preserve"> 110, на </w:t>
      </w:r>
      <w:proofErr w:type="spellStart"/>
      <w:r w:rsidRPr="00042BB8">
        <w:rPr>
          <w:sz w:val="28"/>
          <w:szCs w:val="28"/>
        </w:rPr>
        <w:t>ул.Строительная</w:t>
      </w:r>
      <w:proofErr w:type="spellEnd"/>
      <w:r w:rsidRPr="00042BB8">
        <w:rPr>
          <w:sz w:val="28"/>
          <w:szCs w:val="28"/>
        </w:rPr>
        <w:t xml:space="preserve">, от д.1А до д.7. Работы на участке </w:t>
      </w:r>
      <w:proofErr w:type="spellStart"/>
      <w:r w:rsidRPr="00042BB8">
        <w:rPr>
          <w:sz w:val="28"/>
          <w:szCs w:val="28"/>
        </w:rPr>
        <w:t>ул.Строительная</w:t>
      </w:r>
      <w:proofErr w:type="spellEnd"/>
      <w:r w:rsidRPr="00042BB8">
        <w:rPr>
          <w:sz w:val="28"/>
          <w:szCs w:val="28"/>
        </w:rPr>
        <w:t>, от д.1А до д.7 продолжатся в 2017 году.</w:t>
      </w:r>
    </w:p>
    <w:p w:rsidR="00446259" w:rsidRPr="00042BB8" w:rsidRDefault="00446259" w:rsidP="005067F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      - системы теплоснабжения – протяженность замененных тепловых сетей 2,5 тыс. погонных метров</w:t>
      </w:r>
    </w:p>
    <w:p w:rsidR="00446259" w:rsidRPr="00042BB8" w:rsidRDefault="00446259" w:rsidP="005067F6">
      <w:pPr>
        <w:pStyle w:val="a9"/>
        <w:spacing w:before="0" w:beforeAutospacing="0" w:after="0" w:afterAutospacing="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      - системы электроснабжения - заменены сети электроснабжения по ул. Советская, ул. Мостовая, ул. Лесная, ул. </w:t>
      </w:r>
      <w:proofErr w:type="spellStart"/>
      <w:r w:rsidRPr="00042BB8">
        <w:rPr>
          <w:sz w:val="28"/>
          <w:szCs w:val="28"/>
        </w:rPr>
        <w:t>Штернберга</w:t>
      </w:r>
      <w:proofErr w:type="spellEnd"/>
      <w:r w:rsidRPr="00042BB8">
        <w:rPr>
          <w:sz w:val="28"/>
          <w:szCs w:val="28"/>
        </w:rPr>
        <w:t xml:space="preserve"> в </w:t>
      </w:r>
      <w:proofErr w:type="spellStart"/>
      <w:r w:rsidRPr="00042BB8">
        <w:rPr>
          <w:sz w:val="28"/>
          <w:szCs w:val="28"/>
        </w:rPr>
        <w:t>пгт.Ноглики</w:t>
      </w:r>
      <w:proofErr w:type="spellEnd"/>
      <w:r w:rsidRPr="00042BB8">
        <w:rPr>
          <w:sz w:val="28"/>
          <w:szCs w:val="28"/>
        </w:rPr>
        <w:t>.</w:t>
      </w:r>
    </w:p>
    <w:p w:rsidR="00446259" w:rsidRPr="00042BB8" w:rsidRDefault="00446259" w:rsidP="005067F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6. проведена рекультивация водозабора «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Имчин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».</w:t>
      </w:r>
    </w:p>
    <w:p w:rsidR="00446259" w:rsidRPr="00042BB8" w:rsidRDefault="00446259" w:rsidP="005067F6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2BB8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042BB8">
        <w:rPr>
          <w:rFonts w:ascii="Times New Roman" w:hAnsi="Times New Roman" w:cs="Times New Roman"/>
          <w:b/>
          <w:i/>
          <w:sz w:val="28"/>
          <w:szCs w:val="28"/>
        </w:rPr>
        <w:t>сфере «газификации»:</w:t>
      </w:r>
    </w:p>
    <w:p w:rsidR="00446259" w:rsidRPr="00042BB8" w:rsidRDefault="00446259" w:rsidP="005067F6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1. Завершена реконструкция системы газоснабжения в пгт. Ноглики. В 2017 году ожидается пуск газа и проведение пуско-наладочных работ.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      2. Как и годом ранее в ходе проведения работ по газификации многоквартирных домов и жилых домов индивидуального жилищного фонда жителям муниципального образования была оказана единовременная материальная помощь на частичную компенсацию затрат по выполненным и оплаченным гражданами работам по газификации индивидуального жилищного фонда – 8 </w:t>
      </w:r>
      <w:proofErr w:type="gramStart"/>
      <w:r w:rsidRPr="00042BB8">
        <w:rPr>
          <w:sz w:val="28"/>
          <w:szCs w:val="28"/>
        </w:rPr>
        <w:t>получателей..</w:t>
      </w:r>
      <w:proofErr w:type="gramEnd"/>
      <w:r w:rsidRPr="00042BB8">
        <w:rPr>
          <w:sz w:val="28"/>
          <w:szCs w:val="28"/>
        </w:rPr>
        <w:t xml:space="preserve"> 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3. Велись работы по установке индивидуальных приборов учета газа </w:t>
      </w:r>
      <w:proofErr w:type="gramStart"/>
      <w:r w:rsidRPr="00042BB8">
        <w:rPr>
          <w:sz w:val="28"/>
          <w:szCs w:val="28"/>
        </w:rPr>
        <w:t>в  квартирах</w:t>
      </w:r>
      <w:proofErr w:type="gramEnd"/>
      <w:r w:rsidRPr="00042BB8">
        <w:rPr>
          <w:sz w:val="28"/>
          <w:szCs w:val="28"/>
        </w:rPr>
        <w:t xml:space="preserve"> жителей пгт. Ноглики. Всего установлено 981 шт. приборов учета.</w:t>
      </w:r>
    </w:p>
    <w:p w:rsidR="00446259" w:rsidRPr="00042BB8" w:rsidRDefault="00446259" w:rsidP="005067F6">
      <w:pPr>
        <w:spacing w:after="0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042BB8">
        <w:rPr>
          <w:rFonts w:ascii="Times New Roman" w:hAnsi="Times New Roman" w:cs="Times New Roman"/>
          <w:b/>
          <w:i/>
          <w:sz w:val="28"/>
          <w:szCs w:val="28"/>
        </w:rPr>
        <w:t>«дорожное хозяйство»:</w:t>
      </w:r>
    </w:p>
    <w:p w:rsidR="00446259" w:rsidRPr="00042BB8" w:rsidRDefault="00446259" w:rsidP="005067F6">
      <w:pPr>
        <w:spacing w:after="0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  1. Выполнен капитальный ремонт автомобильных дорог местного значения. Проводились работы на следующих улицах и переулках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пгт.Ноглики</w:t>
      </w:r>
      <w:proofErr w:type="spellEnd"/>
      <w:r w:rsidRPr="00042BB8">
        <w:rPr>
          <w:rFonts w:ascii="Times New Roman" w:hAnsi="Times New Roman" w:cs="Times New Roman"/>
          <w:color w:val="C00000"/>
          <w:sz w:val="28"/>
          <w:szCs w:val="28"/>
        </w:rPr>
        <w:t xml:space="preserve">: </w:t>
      </w:r>
    </w:p>
    <w:p w:rsidR="00446259" w:rsidRPr="00042BB8" w:rsidRDefault="00446259" w:rsidP="005067F6">
      <w:pPr>
        <w:spacing w:after="0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- ул.15 Мая</w:t>
      </w:r>
      <w:r w:rsidRPr="00042BB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042BB8">
        <w:rPr>
          <w:rFonts w:ascii="Times New Roman" w:hAnsi="Times New Roman" w:cs="Times New Roman"/>
          <w:sz w:val="28"/>
          <w:szCs w:val="28"/>
        </w:rPr>
        <w:t xml:space="preserve">(уложено 1,3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тыс.кв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. м асфальтового покрытия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);</w:t>
      </w:r>
      <w:r w:rsidRPr="00042BB8">
        <w:rPr>
          <w:rFonts w:ascii="Times New Roman" w:hAnsi="Times New Roman" w:cs="Times New Roman"/>
          <w:color w:val="C00000"/>
          <w:sz w:val="28"/>
          <w:szCs w:val="28"/>
        </w:rPr>
        <w:t>,</w:t>
      </w:r>
      <w:proofErr w:type="gramEnd"/>
    </w:p>
    <w:p w:rsidR="00446259" w:rsidRPr="00042BB8" w:rsidRDefault="00446259" w:rsidP="005067F6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ул.Невельского</w:t>
      </w:r>
      <w:proofErr w:type="spellEnd"/>
      <w:r w:rsidRPr="00042BB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042BB8">
        <w:rPr>
          <w:rFonts w:ascii="Times New Roman" w:hAnsi="Times New Roman" w:cs="Times New Roman"/>
          <w:sz w:val="28"/>
          <w:szCs w:val="28"/>
        </w:rPr>
        <w:t>(уложено 1 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тыс.кв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. м. тротуарной плитки, 1,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 xml:space="preserve">7 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тыс.м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бортового камня; 2, 4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тыс.кв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. м асфальта - бетонного покрытия).</w:t>
      </w:r>
    </w:p>
    <w:p w:rsidR="00446259" w:rsidRPr="00042BB8" w:rsidRDefault="00446259" w:rsidP="005067F6">
      <w:pPr>
        <w:spacing w:after="0"/>
        <w:ind w:firstLine="72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Начата работа по асфальтированию пер. Спортивный.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2.   Велись работы </w:t>
      </w:r>
      <w:proofErr w:type="gramStart"/>
      <w:r w:rsidRPr="00042BB8">
        <w:rPr>
          <w:sz w:val="28"/>
          <w:szCs w:val="28"/>
        </w:rPr>
        <w:t>по  капитальному</w:t>
      </w:r>
      <w:proofErr w:type="gramEnd"/>
      <w:r w:rsidRPr="00042BB8">
        <w:rPr>
          <w:sz w:val="28"/>
          <w:szCs w:val="28"/>
        </w:rPr>
        <w:t xml:space="preserve"> ремонту и ремонту  дворовых территорий и проездов к ним. В течении 2016 года был произведен капитальный ремонт пяти дворовых территорий: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- 3 в </w:t>
      </w:r>
      <w:proofErr w:type="gramStart"/>
      <w:r w:rsidRPr="00042BB8">
        <w:rPr>
          <w:sz w:val="28"/>
          <w:szCs w:val="28"/>
        </w:rPr>
        <w:t>микрорайоне  №</w:t>
      </w:r>
      <w:proofErr w:type="gramEnd"/>
      <w:r w:rsidRPr="00042BB8">
        <w:rPr>
          <w:sz w:val="28"/>
          <w:szCs w:val="28"/>
        </w:rPr>
        <w:t xml:space="preserve"> 1-  (ул. Гагарина, д. 6, д. 8), (ул. Гагарина, д. 2, д. 3, д.4),  (ул. Гагарина, д. 10, д. 12);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- 2 в микрорайоне № 2 - (ул. Первомайская, д. 13, д. 15, д. 17, д. 19, ул. Советская, д. 24, ул. Репина, д. 10, д.12, д. 14), (ул. Репина д. 17, д.19, ул. 15 мая, д.19).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>Все дворовые территории находятся в пгт. Ноглики.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42BB8">
        <w:rPr>
          <w:sz w:val="28"/>
          <w:szCs w:val="28"/>
        </w:rPr>
        <w:lastRenderedPageBreak/>
        <w:t xml:space="preserve">3. Выполнены работы по содержанию улично-дорожной сети и </w:t>
      </w:r>
      <w:proofErr w:type="gramStart"/>
      <w:r w:rsidRPr="00042BB8">
        <w:rPr>
          <w:sz w:val="28"/>
          <w:szCs w:val="28"/>
        </w:rPr>
        <w:t>дорог  общего</w:t>
      </w:r>
      <w:proofErr w:type="gramEnd"/>
      <w:r w:rsidRPr="00042BB8">
        <w:rPr>
          <w:sz w:val="28"/>
          <w:szCs w:val="28"/>
        </w:rPr>
        <w:t xml:space="preserve"> пользования местного значения 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В сфере </w:t>
      </w:r>
      <w:r w:rsidRPr="00042BB8">
        <w:rPr>
          <w:b/>
          <w:i/>
          <w:sz w:val="28"/>
          <w:szCs w:val="28"/>
        </w:rPr>
        <w:t>«благоустройство»:</w:t>
      </w:r>
      <w:r w:rsidRPr="00042BB8">
        <w:rPr>
          <w:sz w:val="28"/>
          <w:szCs w:val="28"/>
        </w:rPr>
        <w:t xml:space="preserve"> 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1. Проведены работы по капитальному ремонту объектов благоустройства   </w:t>
      </w:r>
      <w:proofErr w:type="gramStart"/>
      <w:r w:rsidRPr="00042BB8">
        <w:rPr>
          <w:sz w:val="28"/>
          <w:szCs w:val="28"/>
        </w:rPr>
        <w:t>в  пгт</w:t>
      </w:r>
      <w:proofErr w:type="gramEnd"/>
      <w:r w:rsidRPr="00042BB8">
        <w:rPr>
          <w:sz w:val="28"/>
          <w:szCs w:val="28"/>
        </w:rPr>
        <w:t>. Ноглики: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 – выполнены работы по укладке резинового покрытия на спортивной площадке по ул. Советска д. 2 и детской игровой площадке по ул. Гагарина, д.1.</w:t>
      </w:r>
    </w:p>
    <w:p w:rsidR="00446259" w:rsidRPr="00042BB8" w:rsidRDefault="00446259" w:rsidP="005067F6">
      <w:pPr>
        <w:pStyle w:val="a9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042BB8">
        <w:rPr>
          <w:sz w:val="28"/>
          <w:szCs w:val="28"/>
        </w:rPr>
        <w:t xml:space="preserve">2. Проведены работы по содержанию мест захоронения, содержанию объектов уличного освещения. </w:t>
      </w:r>
    </w:p>
    <w:p w:rsidR="00446259" w:rsidRPr="005067F6" w:rsidRDefault="00446259" w:rsidP="005067F6">
      <w:pPr>
        <w:spacing w:after="0"/>
        <w:ind w:firstLine="37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46259" w:rsidRDefault="00446259" w:rsidP="005067F6">
      <w:pPr>
        <w:spacing w:after="0"/>
        <w:ind w:firstLine="37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7F6">
        <w:rPr>
          <w:rFonts w:ascii="Times New Roman" w:hAnsi="Times New Roman" w:cs="Times New Roman"/>
          <w:b/>
          <w:sz w:val="28"/>
          <w:szCs w:val="28"/>
        </w:rPr>
        <w:t>Транспорт</w:t>
      </w:r>
    </w:p>
    <w:p w:rsidR="005067F6" w:rsidRPr="005067F6" w:rsidRDefault="005067F6" w:rsidP="005067F6">
      <w:pPr>
        <w:spacing w:after="0"/>
        <w:ind w:firstLine="37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259" w:rsidRPr="00042BB8" w:rsidRDefault="00446259" w:rsidP="005067F6">
      <w:pPr>
        <w:tabs>
          <w:tab w:val="left" w:pos="0"/>
        </w:tabs>
        <w:spacing w:after="0"/>
        <w:ind w:firstLine="374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Транспортные услуги на территории муниципального образования в 2016 году 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представлены  железнодорожным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, автомобильным и воздушным видами транспорта. 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b/>
          <w:i/>
          <w:sz w:val="28"/>
          <w:szCs w:val="28"/>
        </w:rPr>
        <w:t xml:space="preserve">Услуги железнодорожного транспорта </w:t>
      </w:r>
      <w:r w:rsidRPr="00042BB8">
        <w:rPr>
          <w:rFonts w:ascii="Times New Roman" w:hAnsi="Times New Roman" w:cs="Times New Roman"/>
          <w:sz w:val="28"/>
          <w:szCs w:val="28"/>
        </w:rPr>
        <w:t>по перевозке грузов и пассажиров обеспечивает структурное подразделение Дальневосточной железной дороги филиала ОАО «Российские железные дороги» -  станция Ноглики.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2BB8">
        <w:rPr>
          <w:rFonts w:ascii="Times New Roman" w:hAnsi="Times New Roman" w:cs="Times New Roman"/>
          <w:b/>
          <w:i/>
          <w:sz w:val="28"/>
          <w:szCs w:val="28"/>
        </w:rPr>
        <w:t>Автомобильный транспорт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В границах городского округа услуги по перевозке пассажиров и грузов автомобильным транспортном оказывают автотранспортные компании - субъекты малого предпринимательства, муниципальное унитарное предприятие.</w:t>
      </w:r>
    </w:p>
    <w:p w:rsidR="00446259" w:rsidRPr="00042BB8" w:rsidRDefault="00446259" w:rsidP="005067F6">
      <w:pPr>
        <w:tabs>
          <w:tab w:val="left" w:pos="540"/>
        </w:tabs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2016  году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по итогам конкурсного отбора допуск на муниципальную маршрутную сеть на право осуществления регулярных маршрутных перевозок получила компания – перевозчик МУП «Управляющая организация Ноглики». Подвижной состав предприятия насчитывает 8 пассажирских автобусов малого класса.  В течение года компанией осуществлялись пассажирские перевозки на городских, пригородных и междугородных маршрутах. За 2016 год предприятием перевезено 86,3 тысяч человек пассажиров.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 xml:space="preserve">Как и в предыдущие годы с целью обеспечения доступности для пассажиров услуг автобусными перевозками в 2016 году за счет средств местного бюджета осуществлялось субсидирование социально </w:t>
      </w:r>
      <w:r w:rsidRPr="00042BB8">
        <w:rPr>
          <w:rFonts w:ascii="Times New Roman" w:hAnsi="Times New Roman" w:cs="Times New Roman"/>
          <w:sz w:val="28"/>
          <w:szCs w:val="28"/>
        </w:rPr>
        <w:noBreakHyphen/>
        <w:t xml:space="preserve"> значимых автобусных маршрутов.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Кроме этого, для неработающих пенсионеров была сохранена льготная перевозка автобусным маршрутом для выполнения сельскохозяйственных работ на приусадебных участках. Данная льгота предоставляется для указанной категории населения начиная с 2009 года.</w:t>
      </w:r>
    </w:p>
    <w:p w:rsidR="00446259" w:rsidRPr="00042BB8" w:rsidRDefault="00446259" w:rsidP="005067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lastRenderedPageBreak/>
        <w:t xml:space="preserve">Всего за отчетный год за счет средств местного бюджета компании-перевозчику возмещено недополученных доходов при перевозке пассажиров 10,3 млн. рублей (факт 2015 г. – 9,2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.).</w:t>
      </w:r>
    </w:p>
    <w:p w:rsidR="00446259" w:rsidRPr="00042BB8" w:rsidRDefault="00446259" w:rsidP="005067F6">
      <w:pPr>
        <w:tabs>
          <w:tab w:val="left" w:pos="5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042BB8">
        <w:rPr>
          <w:rFonts w:ascii="Times New Roman" w:hAnsi="Times New Roman" w:cs="Times New Roman"/>
          <w:sz w:val="28"/>
          <w:szCs w:val="28"/>
        </w:rPr>
        <w:t>Альтернативой  перевозкам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 пассажиров  автобусами  общего  пользования  является  перевозка  пассажиров  легковым такси. 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На  территории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 муниципального  образования     разрешения  на  перевозку  пассажиров   легковым  такси  имеют    индивидуальные  предприниматели  на    64  автомобиля. </w:t>
      </w:r>
    </w:p>
    <w:p w:rsidR="00446259" w:rsidRPr="00042BB8" w:rsidRDefault="00446259" w:rsidP="005067F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42BB8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042BB8">
        <w:rPr>
          <w:rFonts w:ascii="Times New Roman" w:hAnsi="Times New Roman" w:cs="Times New Roman"/>
          <w:b/>
          <w:i/>
          <w:sz w:val="28"/>
          <w:szCs w:val="28"/>
        </w:rPr>
        <w:t>Воздушный транспорт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Аэропортное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 xml:space="preserve"> и наземное обслуживание воздушных перевозок для 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авиакомпаний  в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городском округе обеспечивает филиал «Аэропорт Ноглики» АО «Аэропорт Южно-Сахалинск». </w:t>
      </w:r>
    </w:p>
    <w:p w:rsidR="00446259" w:rsidRPr="00042BB8" w:rsidRDefault="00446259" w:rsidP="005067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В отчетном году услуги по перевозке пассажиров и грузов воздушным транспортом оказывали пять авиакомпаний («Аврора», «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Авиашельф</w:t>
      </w:r>
      <w:proofErr w:type="spellEnd"/>
      <w:proofErr w:type="gramStart"/>
      <w:r w:rsidRPr="00042BB8">
        <w:rPr>
          <w:rFonts w:ascii="Times New Roman" w:hAnsi="Times New Roman" w:cs="Times New Roman"/>
          <w:sz w:val="28"/>
          <w:szCs w:val="28"/>
        </w:rPr>
        <w:t>»,  «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>Дальнереченск Авиа», «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ГазпромАвиа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 xml:space="preserve">», «Амур»). Авиаперевозки осуществлялись в режиме </w:t>
      </w:r>
      <w:proofErr w:type="gramStart"/>
      <w:r w:rsidRPr="00042BB8">
        <w:rPr>
          <w:rFonts w:ascii="Times New Roman" w:hAnsi="Times New Roman" w:cs="Times New Roman"/>
          <w:sz w:val="28"/>
          <w:szCs w:val="28"/>
        </w:rPr>
        <w:t>чартерных  авиарейсов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 в пределах ДФО и  центральных регионов России, кроме этого компания  «Аврора»  выполняла регулярные авиарейсы по маршруту Ноглики – Хабаровск – Ноглики.</w:t>
      </w:r>
    </w:p>
    <w:p w:rsidR="00446259" w:rsidRPr="00042BB8" w:rsidRDefault="00446259" w:rsidP="005067F6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965A43" w:rsidRDefault="00965A43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Малое и среднее предпринимательство</w:t>
      </w:r>
    </w:p>
    <w:p w:rsidR="00965A43" w:rsidRDefault="00965A43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A43" w:rsidRPr="00965A43" w:rsidRDefault="00965A43" w:rsidP="00965A4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5A43">
        <w:rPr>
          <w:rFonts w:ascii="Times New Roman" w:hAnsi="Times New Roman" w:cs="Times New Roman"/>
          <w:sz w:val="28"/>
          <w:szCs w:val="28"/>
        </w:rPr>
        <w:t xml:space="preserve">Количество малых и средних предприятий с учетом индивидуальных предпринимателей, зарегистрированных в муниципальном образовании, по состоянию на 1 января 2017 года составляет 447 субъектов. Несмотря на сложившуюся политическую ситуацию, отразившуюся на экономике России в целом, количество субъектов предпринимательства не претерпело серьезных изменений. </w:t>
      </w:r>
    </w:p>
    <w:p w:rsidR="00965A43" w:rsidRPr="00965A43" w:rsidRDefault="00965A43" w:rsidP="00965A4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65A43">
        <w:rPr>
          <w:rFonts w:ascii="Times New Roman" w:hAnsi="Times New Roman" w:cs="Times New Roman"/>
          <w:sz w:val="28"/>
          <w:szCs w:val="28"/>
        </w:rPr>
        <w:t xml:space="preserve">Общее число субъектов малого и среднего предпринимательства по сравнению с началом 2016 года увеличилось на 13 по сравнению с аналогичным периодом прошлого года. </w:t>
      </w:r>
    </w:p>
    <w:p w:rsidR="00965A43" w:rsidRPr="00965A43" w:rsidRDefault="00965A43" w:rsidP="00965A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A43">
        <w:rPr>
          <w:rFonts w:ascii="Times New Roman" w:hAnsi="Times New Roman" w:cs="Times New Roman"/>
          <w:sz w:val="28"/>
          <w:szCs w:val="28"/>
        </w:rPr>
        <w:t>В условиях, сложившихся в целом в российской экономике, необходимость поддержки малого предпринимательства с использованием финансовых инструментов приобретает все большее значение. На территории городского округа принята и реализуется подпрограмма «Развитие малого и среднего предпринимательства в муниципальном образовании «Городской округ Ногликский» на 2015-2020 годы».</w:t>
      </w:r>
    </w:p>
    <w:p w:rsidR="00965A43" w:rsidRPr="00965A43" w:rsidRDefault="00965A43" w:rsidP="00965A43">
      <w:pPr>
        <w:spacing w:after="0"/>
        <w:ind w:firstLine="748"/>
        <w:jc w:val="both"/>
        <w:rPr>
          <w:rFonts w:ascii="Times New Roman" w:hAnsi="Times New Roman" w:cs="Times New Roman"/>
          <w:sz w:val="28"/>
          <w:szCs w:val="28"/>
        </w:rPr>
      </w:pPr>
      <w:r w:rsidRPr="00965A43">
        <w:rPr>
          <w:rFonts w:ascii="Times New Roman" w:hAnsi="Times New Roman" w:cs="Times New Roman"/>
          <w:sz w:val="28"/>
          <w:szCs w:val="28"/>
        </w:rPr>
        <w:t>В рамках реализации данной подпрограммы в 2016 году была оказана финансовая поддержка 22-м субъектам предпринимательства на сумму в 7,1 млн. рублей за счет средств местного и областного бюджетов. (в 2015 году получателями субсидий стали 27 субъектов, сумма поддержки – 10,2 млн. рублей).</w:t>
      </w:r>
    </w:p>
    <w:p w:rsidR="00965A43" w:rsidRPr="00965A43" w:rsidRDefault="00965A43" w:rsidP="00965A4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</w:p>
    <w:p w:rsidR="00965A43" w:rsidRPr="00965A43" w:rsidRDefault="00965A43" w:rsidP="00965A4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</w:p>
    <w:p w:rsidR="00965A43" w:rsidRDefault="00965A43" w:rsidP="00965A43">
      <w:pPr>
        <w:pStyle w:val="2"/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3693795"/>
            <wp:effectExtent l="38100" t="0" r="19050" b="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65A43" w:rsidRPr="00965A43" w:rsidRDefault="00965A43" w:rsidP="00965A43">
      <w:pPr>
        <w:pStyle w:val="2"/>
        <w:spacing w:after="0" w:line="240" w:lineRule="auto"/>
        <w:ind w:firstLine="709"/>
        <w:jc w:val="center"/>
        <w:rPr>
          <w:i/>
        </w:rPr>
      </w:pPr>
      <w:r w:rsidRPr="00965A43">
        <w:rPr>
          <w:i/>
        </w:rPr>
        <w:t>Рисунок №22</w:t>
      </w:r>
    </w:p>
    <w:p w:rsidR="00965A43" w:rsidRDefault="00965A43" w:rsidP="00965A4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</w:p>
    <w:p w:rsidR="00965A43" w:rsidRPr="00965A43" w:rsidRDefault="00965A43" w:rsidP="00965A43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 w:rsidRPr="00965A43">
        <w:rPr>
          <w:sz w:val="28"/>
          <w:szCs w:val="28"/>
        </w:rPr>
        <w:t xml:space="preserve">Малый бизнес активно участвует в социально-экономической жизни городского округа, осуществляет производство и реализацию товаров и услуг, обеспечивает занятость населения. С учетом индивидуальных предпринимателей в сфере предпринимательства занято (по оценке) 1,1 тыс. человек (23% от общей </w:t>
      </w:r>
      <w:proofErr w:type="gramStart"/>
      <w:r w:rsidRPr="00965A43">
        <w:rPr>
          <w:sz w:val="28"/>
          <w:szCs w:val="28"/>
        </w:rPr>
        <w:t>численности</w:t>
      </w:r>
      <w:proofErr w:type="gramEnd"/>
      <w:r w:rsidRPr="00965A43">
        <w:rPr>
          <w:sz w:val="28"/>
          <w:szCs w:val="28"/>
        </w:rPr>
        <w:t xml:space="preserve"> занятых в экономике округа).</w:t>
      </w:r>
    </w:p>
    <w:p w:rsidR="00965A43" w:rsidRPr="00965A43" w:rsidRDefault="00965A43" w:rsidP="00965A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A43">
        <w:rPr>
          <w:rFonts w:ascii="Times New Roman" w:hAnsi="Times New Roman" w:cs="Times New Roman"/>
          <w:sz w:val="28"/>
          <w:szCs w:val="28"/>
        </w:rPr>
        <w:t xml:space="preserve">Расширяется участие субъектов малого бизнеса в решении проблем городского хозяйства, в </w:t>
      </w:r>
      <w:proofErr w:type="spellStart"/>
      <w:r w:rsidRPr="00965A43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965A43">
        <w:rPr>
          <w:rFonts w:ascii="Times New Roman" w:hAnsi="Times New Roman" w:cs="Times New Roman"/>
          <w:sz w:val="28"/>
          <w:szCs w:val="28"/>
        </w:rPr>
        <w:t>. путем выполнения муниципальных контрактов.</w:t>
      </w:r>
      <w:r w:rsidRPr="00965A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65A43">
        <w:rPr>
          <w:rFonts w:ascii="Times New Roman" w:hAnsi="Times New Roman" w:cs="Times New Roman"/>
          <w:sz w:val="28"/>
          <w:szCs w:val="28"/>
        </w:rPr>
        <w:t xml:space="preserve">За 2016 год сумма контрактов на выполнение работ, оказание услуг для муниципальных нужд субъектами малого предпринимательства составила 37,5 </w:t>
      </w:r>
      <w:proofErr w:type="spellStart"/>
      <w:r w:rsidRPr="00965A43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Pr="00965A43">
        <w:rPr>
          <w:rFonts w:ascii="Times New Roman" w:hAnsi="Times New Roman" w:cs="Times New Roman"/>
          <w:sz w:val="28"/>
          <w:szCs w:val="28"/>
        </w:rPr>
        <w:t>. или 24,5% от суммы контрактов, заключенных конкурентным способом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A43" w:rsidRDefault="00965A43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9FF" w:rsidRDefault="008549FF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имущество</w:t>
      </w:r>
    </w:p>
    <w:p w:rsidR="008549FF" w:rsidRDefault="008549FF" w:rsidP="008549FF">
      <w:pPr>
        <w:shd w:val="clear" w:color="auto" w:fill="FFFFFF"/>
        <w:spacing w:after="0" w:line="307" w:lineRule="exact"/>
        <w:ind w:left="29" w:right="1" w:firstLine="778"/>
        <w:jc w:val="both"/>
        <w:rPr>
          <w:rFonts w:ascii="Times New Roman" w:hAnsi="Times New Roman"/>
          <w:sz w:val="28"/>
          <w:szCs w:val="28"/>
        </w:rPr>
      </w:pPr>
    </w:p>
    <w:p w:rsidR="008549FF" w:rsidRDefault="008549FF" w:rsidP="008549FF">
      <w:pPr>
        <w:shd w:val="clear" w:color="auto" w:fill="FFFFFF"/>
        <w:spacing w:after="0" w:line="307" w:lineRule="exact"/>
        <w:ind w:left="29" w:right="1" w:firstLine="778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>По состоянию на 01</w:t>
      </w:r>
      <w:r>
        <w:rPr>
          <w:rFonts w:ascii="Times New Roman" w:hAnsi="Times New Roman"/>
          <w:sz w:val="28"/>
          <w:szCs w:val="28"/>
        </w:rPr>
        <w:t>.01.17</w:t>
      </w:r>
      <w:r w:rsidRPr="000326BF">
        <w:rPr>
          <w:rFonts w:ascii="Times New Roman" w:hAnsi="Times New Roman"/>
          <w:sz w:val="28"/>
          <w:szCs w:val="28"/>
        </w:rPr>
        <w:t xml:space="preserve"> стоимость муниципального имущества </w:t>
      </w:r>
      <w:r>
        <w:rPr>
          <w:rFonts w:ascii="Times New Roman" w:hAnsi="Times New Roman"/>
          <w:sz w:val="28"/>
          <w:szCs w:val="28"/>
        </w:rPr>
        <w:t xml:space="preserve">увеличилась на 517 млн. рублей и </w:t>
      </w:r>
      <w:r w:rsidRPr="000326BF">
        <w:rPr>
          <w:rFonts w:ascii="Times New Roman" w:hAnsi="Times New Roman"/>
          <w:sz w:val="28"/>
          <w:szCs w:val="28"/>
        </w:rPr>
        <w:t>составл</w:t>
      </w:r>
      <w:r>
        <w:rPr>
          <w:rFonts w:ascii="Times New Roman" w:hAnsi="Times New Roman"/>
          <w:sz w:val="28"/>
          <w:szCs w:val="28"/>
        </w:rPr>
        <w:t>яет 4 млрд. рублей</w:t>
      </w:r>
      <w:r w:rsidRPr="000326BF">
        <w:rPr>
          <w:rFonts w:ascii="Times New Roman" w:hAnsi="Times New Roman"/>
          <w:sz w:val="28"/>
          <w:szCs w:val="28"/>
        </w:rPr>
        <w:t xml:space="preserve">. </w:t>
      </w:r>
    </w:p>
    <w:p w:rsidR="008549FF" w:rsidRPr="000326BF" w:rsidRDefault="008549FF" w:rsidP="008549FF">
      <w:pPr>
        <w:shd w:val="clear" w:color="auto" w:fill="FFFFFF"/>
        <w:spacing w:after="0" w:line="307" w:lineRule="exact"/>
        <w:ind w:left="29" w:right="1" w:firstLine="778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>Комитетом по управлению муниципальным имуществом</w:t>
      </w:r>
      <w:r>
        <w:rPr>
          <w:rFonts w:ascii="Times New Roman" w:hAnsi="Times New Roman"/>
          <w:spacing w:val="1"/>
          <w:sz w:val="28"/>
          <w:szCs w:val="28"/>
        </w:rPr>
        <w:t xml:space="preserve"> за год было приобретено 14</w:t>
      </w:r>
      <w:r w:rsidRPr="000326BF">
        <w:rPr>
          <w:rFonts w:ascii="Times New Roman" w:hAnsi="Times New Roman"/>
          <w:spacing w:val="1"/>
          <w:sz w:val="28"/>
          <w:szCs w:val="28"/>
        </w:rPr>
        <w:t xml:space="preserve"> благоустроенных однокомнатных квартир для детей - сирот и детей, оставшихся без по</w:t>
      </w:r>
      <w:r>
        <w:rPr>
          <w:rFonts w:ascii="Times New Roman" w:hAnsi="Times New Roman"/>
          <w:spacing w:val="1"/>
          <w:sz w:val="28"/>
          <w:szCs w:val="28"/>
        </w:rPr>
        <w:t>печения родителей. А также 3-х комнатная квартира для педагогов и 1-ая и 2-х комнатная квартиры для медицинских работников.</w:t>
      </w:r>
    </w:p>
    <w:p w:rsidR="008549FF" w:rsidRPr="002B62B0" w:rsidRDefault="008549FF" w:rsidP="008549FF">
      <w:pPr>
        <w:pStyle w:val="21"/>
        <w:shd w:val="clear" w:color="auto" w:fill="auto"/>
        <w:spacing w:after="0"/>
        <w:ind w:left="20" w:right="20" w:firstLine="688"/>
        <w:jc w:val="both"/>
        <w:rPr>
          <w:rFonts w:ascii="Times New Roman" w:hAnsi="Times New Roman" w:cs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Поступление средств от использования и продажи муниципальной </w:t>
      </w:r>
      <w:r w:rsidRPr="000326BF">
        <w:rPr>
          <w:rFonts w:ascii="Times New Roman" w:hAnsi="Times New Roman"/>
          <w:sz w:val="28"/>
          <w:szCs w:val="28"/>
        </w:rPr>
        <w:lastRenderedPageBreak/>
        <w:t>собственности в бюджет городского округа за год составили почти 8</w:t>
      </w:r>
      <w:r>
        <w:rPr>
          <w:rFonts w:ascii="Times New Roman" w:hAnsi="Times New Roman"/>
          <w:sz w:val="28"/>
          <w:szCs w:val="28"/>
        </w:rPr>
        <w:t>1</w:t>
      </w:r>
      <w:r w:rsidRPr="000326BF">
        <w:rPr>
          <w:rFonts w:ascii="Times New Roman" w:hAnsi="Times New Roman"/>
          <w:sz w:val="28"/>
          <w:szCs w:val="28"/>
        </w:rPr>
        <w:t xml:space="preserve"> млн. руб., что </w:t>
      </w:r>
      <w:r>
        <w:rPr>
          <w:rFonts w:ascii="Times New Roman" w:hAnsi="Times New Roman"/>
          <w:sz w:val="28"/>
          <w:szCs w:val="28"/>
        </w:rPr>
        <w:t>выше плановых назначений на 2,3</w:t>
      </w:r>
      <w:r w:rsidRPr="000326BF">
        <w:rPr>
          <w:rFonts w:ascii="Times New Roman" w:hAnsi="Times New Roman"/>
          <w:sz w:val="28"/>
          <w:szCs w:val="28"/>
        </w:rPr>
        <w:t>%, а по сравнению с прошлым годом</w:t>
      </w:r>
      <w:r>
        <w:rPr>
          <w:rFonts w:ascii="Times New Roman" w:hAnsi="Times New Roman"/>
          <w:sz w:val="28"/>
          <w:szCs w:val="28"/>
        </w:rPr>
        <w:t xml:space="preserve"> меньше на 8 </w:t>
      </w:r>
      <w:r w:rsidRPr="000326BF">
        <w:rPr>
          <w:rFonts w:ascii="Times New Roman" w:hAnsi="Times New Roman"/>
          <w:sz w:val="28"/>
          <w:szCs w:val="28"/>
        </w:rPr>
        <w:t>%.</w:t>
      </w:r>
      <w:r>
        <w:rPr>
          <w:color w:val="000000"/>
          <w:sz w:val="26"/>
          <w:szCs w:val="26"/>
        </w:rPr>
        <w:t xml:space="preserve">  </w:t>
      </w:r>
      <w:r w:rsidRPr="002B62B0">
        <w:rPr>
          <w:rFonts w:ascii="Times New Roman" w:hAnsi="Times New Roman" w:cs="Times New Roman"/>
          <w:sz w:val="28"/>
          <w:szCs w:val="28"/>
        </w:rPr>
        <w:t xml:space="preserve">Уменьшение доходов в 2016 году по сравнению с 2015 годом объясняется следующими причинами: </w:t>
      </w:r>
    </w:p>
    <w:p w:rsidR="008549FF" w:rsidRPr="002B62B0" w:rsidRDefault="008549FF" w:rsidP="008549FF">
      <w:pPr>
        <w:pStyle w:val="21"/>
        <w:shd w:val="clear" w:color="auto" w:fill="auto"/>
        <w:spacing w:after="0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2B62B0">
        <w:rPr>
          <w:rFonts w:ascii="Times New Roman" w:hAnsi="Times New Roman" w:cs="Times New Roman"/>
          <w:sz w:val="28"/>
          <w:szCs w:val="28"/>
        </w:rPr>
        <w:t xml:space="preserve">            - увеличение количества заявлений на выкуп земельных участков;  </w:t>
      </w:r>
    </w:p>
    <w:p w:rsidR="008549FF" w:rsidRPr="002B62B0" w:rsidRDefault="008549FF" w:rsidP="008549FF">
      <w:pPr>
        <w:pStyle w:val="21"/>
        <w:shd w:val="clear" w:color="auto" w:fill="auto"/>
        <w:spacing w:after="0"/>
        <w:ind w:left="20" w:right="20"/>
        <w:jc w:val="both"/>
        <w:rPr>
          <w:rFonts w:ascii="Times New Roman" w:hAnsi="Times New Roman" w:cs="Times New Roman"/>
          <w:sz w:val="28"/>
          <w:szCs w:val="28"/>
        </w:rPr>
      </w:pPr>
      <w:r w:rsidRPr="002B62B0">
        <w:rPr>
          <w:rFonts w:ascii="Times New Roman" w:hAnsi="Times New Roman" w:cs="Times New Roman"/>
          <w:sz w:val="28"/>
          <w:szCs w:val="28"/>
        </w:rPr>
        <w:t xml:space="preserve">           -  изменением расчета арендной платы в сторону уменьшения для определенной категории земельных участков на территории Сахалинской области. </w:t>
      </w:r>
    </w:p>
    <w:p w:rsidR="008549FF" w:rsidRPr="000E087C" w:rsidRDefault="008549FF" w:rsidP="008549FF">
      <w:pPr>
        <w:pStyle w:val="21"/>
        <w:shd w:val="clear" w:color="auto" w:fill="auto"/>
        <w:spacing w:after="0"/>
        <w:ind w:left="20"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62B0">
        <w:rPr>
          <w:rFonts w:ascii="Times New Roman" w:hAnsi="Times New Roman" w:cs="Times New Roman"/>
          <w:sz w:val="28"/>
          <w:szCs w:val="28"/>
        </w:rPr>
        <w:t xml:space="preserve">             -  </w:t>
      </w:r>
      <w:r w:rsidRPr="002B62B0">
        <w:rPr>
          <w:rStyle w:val="1"/>
          <w:rFonts w:eastAsiaTheme="minorHAnsi"/>
          <w:sz w:val="28"/>
          <w:szCs w:val="28"/>
        </w:rPr>
        <w:t>снижением арендной платы для МУП «ВДК» до фиксированного размера.</w:t>
      </w:r>
    </w:p>
    <w:p w:rsidR="008549FF" w:rsidRDefault="008549FF" w:rsidP="008549FF">
      <w:pPr>
        <w:pStyle w:val="ab"/>
        <w:spacing w:after="0"/>
        <w:rPr>
          <w:sz w:val="28"/>
          <w:szCs w:val="28"/>
        </w:rPr>
      </w:pPr>
      <w:r w:rsidRPr="009277F0">
        <w:rPr>
          <w:sz w:val="28"/>
          <w:szCs w:val="28"/>
        </w:rPr>
        <w:t xml:space="preserve">           В целях исполнения норм Федерального закона от 24.07.2002 № 101- ФЗ «Об обороте земель сельскохозяйственного назначения» были выполнены кадастровые работы в отношении земель сельскохозяйственного назначения.   В 2016 году подано в суд 22 иска на 448 доли, по    которым приняты положительные решения в пользу муниципального образования.            </w:t>
      </w:r>
    </w:p>
    <w:p w:rsidR="008549FF" w:rsidRDefault="008549FF" w:rsidP="008549F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соответствии с Законом</w:t>
      </w:r>
      <w:r w:rsidRPr="000326BF">
        <w:rPr>
          <w:rFonts w:ascii="Times New Roman" w:hAnsi="Times New Roman"/>
          <w:sz w:val="28"/>
          <w:szCs w:val="28"/>
        </w:rPr>
        <w:t xml:space="preserve"> Сахалинской области «О бесплатном предоставлении земельных участков в собственность граждан, имеющих трех и более детей, и юридических лиц» проводится работа по формированию земельных участков в кварталах жилой застройки городского округа. Всего данного категории пользователей </w:t>
      </w:r>
      <w:r>
        <w:rPr>
          <w:rFonts w:ascii="Times New Roman" w:hAnsi="Times New Roman"/>
          <w:sz w:val="28"/>
          <w:szCs w:val="28"/>
        </w:rPr>
        <w:t>в 2016 году предоставлено в собственность 8 земельных участков.</w:t>
      </w:r>
    </w:p>
    <w:p w:rsidR="008549FF" w:rsidRPr="009277F0" w:rsidRDefault="008549FF" w:rsidP="008549FF">
      <w:pPr>
        <w:tabs>
          <w:tab w:val="left" w:pos="2634"/>
        </w:tabs>
        <w:jc w:val="both"/>
        <w:rPr>
          <w:rFonts w:ascii="Times New Roman" w:hAnsi="Times New Roman"/>
          <w:sz w:val="28"/>
          <w:szCs w:val="28"/>
        </w:rPr>
      </w:pPr>
      <w:r w:rsidRPr="009277F0">
        <w:rPr>
          <w:rFonts w:ascii="Times New Roman" w:hAnsi="Times New Roman"/>
          <w:sz w:val="28"/>
          <w:szCs w:val="28"/>
        </w:rPr>
        <w:t xml:space="preserve">            С 1 октября 2016 года началась реализация Федерального закона «Об особенностях предоставления гражданам земельных участков, находящихся в государственной или муниципальной собственности и расположенных на территориях субъектов Российской Федерации, входящих в состав Дальневосточного Федерального округа». За период с 01 октября по 31 декабря 2016г. поступило 86 заявлений. По состоянию на 01.01.2017г. заключено 20 договоров аренды.</w:t>
      </w:r>
    </w:p>
    <w:p w:rsidR="008549FF" w:rsidRDefault="008549FF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259" w:rsidRDefault="00446259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BB8">
        <w:rPr>
          <w:rFonts w:ascii="Times New Roman" w:hAnsi="Times New Roman" w:cs="Times New Roman"/>
          <w:b/>
          <w:sz w:val="28"/>
          <w:szCs w:val="28"/>
        </w:rPr>
        <w:t>Муниципальные программы</w:t>
      </w:r>
    </w:p>
    <w:p w:rsidR="00042BB8" w:rsidRPr="00042BB8" w:rsidRDefault="00042BB8" w:rsidP="00042B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259" w:rsidRPr="00042BB8" w:rsidRDefault="00446259" w:rsidP="00042B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В период 2016 года на территории муниципального образова</w:t>
      </w:r>
      <w:r w:rsidR="008549FF">
        <w:rPr>
          <w:rFonts w:ascii="Times New Roman" w:hAnsi="Times New Roman" w:cs="Times New Roman"/>
          <w:sz w:val="28"/>
          <w:szCs w:val="28"/>
        </w:rPr>
        <w:t>ния осуществлялась реализация 15</w:t>
      </w:r>
      <w:r w:rsidRPr="00042BB8">
        <w:rPr>
          <w:rFonts w:ascii="Times New Roman" w:hAnsi="Times New Roman" w:cs="Times New Roman"/>
          <w:sz w:val="28"/>
          <w:szCs w:val="28"/>
        </w:rPr>
        <w:t>-</w:t>
      </w:r>
      <w:r w:rsidR="008549FF" w:rsidRPr="00042BB8">
        <w:rPr>
          <w:rFonts w:ascii="Times New Roman" w:hAnsi="Times New Roman" w:cs="Times New Roman"/>
          <w:sz w:val="28"/>
          <w:szCs w:val="28"/>
        </w:rPr>
        <w:t>и муниципальных</w:t>
      </w:r>
      <w:r w:rsidRPr="00042BB8">
        <w:rPr>
          <w:rFonts w:ascii="Times New Roman" w:hAnsi="Times New Roman" w:cs="Times New Roman"/>
          <w:sz w:val="28"/>
          <w:szCs w:val="28"/>
        </w:rPr>
        <w:t xml:space="preserve"> программ в различных сферах деятельности:</w:t>
      </w:r>
    </w:p>
    <w:p w:rsidR="00446259" w:rsidRPr="00042BB8" w:rsidRDefault="00446259" w:rsidP="00042B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042BB8">
        <w:rPr>
          <w:rFonts w:ascii="Times New Roman" w:hAnsi="Times New Roman" w:cs="Times New Roman"/>
          <w:i/>
          <w:sz w:val="28"/>
          <w:szCs w:val="28"/>
          <w:u w:val="single"/>
        </w:rPr>
        <w:t>1.</w:t>
      </w:r>
      <w:r w:rsidRPr="00042B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>В социальной сфере</w:t>
      </w:r>
      <w:r w:rsidRPr="00042BB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(образование, спорт, культура, молодежная </w:t>
      </w:r>
      <w:proofErr w:type="gramStart"/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>политика  и</w:t>
      </w:r>
      <w:proofErr w:type="gramEnd"/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прочее</w:t>
      </w:r>
      <w:r w:rsidRPr="00042BB8">
        <w:rPr>
          <w:rFonts w:ascii="Times New Roman" w:hAnsi="Times New Roman" w:cs="Times New Roman"/>
          <w:b/>
          <w:i/>
          <w:sz w:val="28"/>
          <w:szCs w:val="28"/>
        </w:rPr>
        <w:t>) – 6 программ:</w:t>
      </w:r>
    </w:p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3"/>
      </w:tblGrid>
      <w:tr w:rsidR="00446259" w:rsidRPr="00042BB8" w:rsidTr="004363CC">
        <w:tc>
          <w:tcPr>
            <w:tcW w:w="9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- </w:t>
            </w:r>
            <w:proofErr w:type="gramStart"/>
            <w:r w:rsidRPr="00042BB8">
              <w:rPr>
                <w:rFonts w:ascii="Times New Roman" w:hAnsi="Times New Roman" w:cs="Times New Roman"/>
                <w:sz w:val="28"/>
                <w:szCs w:val="28"/>
              </w:rPr>
              <w:t>Развитие  образования</w:t>
            </w:r>
            <w:proofErr w:type="gramEnd"/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в МО «Городской округ Ногликский» на период 2015-2020 годы в новой редакции;</w:t>
            </w:r>
          </w:p>
        </w:tc>
      </w:tr>
      <w:tr w:rsidR="00446259" w:rsidRPr="00042BB8" w:rsidTr="004363CC">
        <w:tc>
          <w:tcPr>
            <w:tcW w:w="9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2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- Развитие физической культуры, спорта и молодежной политики в МО «Городской округ </w:t>
            </w:r>
            <w:proofErr w:type="gramStart"/>
            <w:r w:rsidRPr="00042BB8">
              <w:rPr>
                <w:rFonts w:ascii="Times New Roman" w:hAnsi="Times New Roman" w:cs="Times New Roman"/>
                <w:sz w:val="28"/>
                <w:szCs w:val="28"/>
              </w:rPr>
              <w:t>Ногликский»  на</w:t>
            </w:r>
            <w:proofErr w:type="gramEnd"/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2015-2020 годы;</w:t>
            </w:r>
          </w:p>
        </w:tc>
      </w:tr>
      <w:tr w:rsidR="00446259" w:rsidRPr="00042BB8" w:rsidTr="004363CC">
        <w:trPr>
          <w:trHeight w:val="741"/>
        </w:trPr>
        <w:tc>
          <w:tcPr>
            <w:tcW w:w="9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2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- Развитие культуры в МО «Городской округ Ногликский» на 2015-2020 годы» в новой редакции;</w:t>
            </w:r>
          </w:p>
        </w:tc>
      </w:tr>
      <w:tr w:rsidR="00446259" w:rsidRPr="00042BB8" w:rsidTr="004363CC">
        <w:tc>
          <w:tcPr>
            <w:tcW w:w="9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2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- Доступная среда в МО «Городской округ Ногликский» на 2015-2020 годы;</w:t>
            </w:r>
          </w:p>
        </w:tc>
      </w:tr>
      <w:tr w:rsidR="00446259" w:rsidRPr="00042BB8" w:rsidTr="004363CC">
        <w:tc>
          <w:tcPr>
            <w:tcW w:w="9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208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- Комплексные меры противодействия злоупотреблению наркотиками и их незаконному обороту в МО «Городской округ Ногликский» на 2015-2020 годы;</w:t>
            </w:r>
          </w:p>
        </w:tc>
      </w:tr>
      <w:tr w:rsidR="00446259" w:rsidRPr="00042BB8" w:rsidTr="004363CC">
        <w:tc>
          <w:tcPr>
            <w:tcW w:w="9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208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- Социальная поддержка отдельных категорий граждан, проживающих на территории МО "Городской округ Ногликский" на 2014-2016 гг.</w:t>
            </w:r>
          </w:p>
        </w:tc>
      </w:tr>
    </w:tbl>
    <w:p w:rsidR="00446259" w:rsidRPr="00042BB8" w:rsidRDefault="00446259" w:rsidP="00042BB8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В сфере </w:t>
      </w:r>
      <w:proofErr w:type="gramStart"/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>ЖКХ  (</w:t>
      </w:r>
      <w:proofErr w:type="gramEnd"/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>в том числе развитие инфраструктуры и благоустройство, дорожное хозяйство) -</w:t>
      </w:r>
      <w:r w:rsidRPr="00042BB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42BB8">
        <w:rPr>
          <w:rFonts w:ascii="Times New Roman" w:hAnsi="Times New Roman" w:cs="Times New Roman"/>
          <w:b/>
          <w:i/>
          <w:sz w:val="28"/>
          <w:szCs w:val="28"/>
          <w:u w:val="single"/>
        </w:rPr>
        <w:t>3 программы: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06"/>
        <w:gridCol w:w="236"/>
        <w:gridCol w:w="47"/>
      </w:tblGrid>
      <w:tr w:rsidR="00446259" w:rsidRPr="00042BB8" w:rsidTr="004363CC"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>- Обеспечение населения МО «Городской округ Ногликский» качественными услугами жилищно-коммунального хозяйства на 2015 – 2020 годы;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6259" w:rsidRPr="00042BB8" w:rsidTr="004363CC">
        <w:trPr>
          <w:gridAfter w:val="1"/>
          <w:wAfter w:w="47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right="-5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- Развитие инфраструктуры и благоустройство населенных пунктов МО </w:t>
            </w:r>
          </w:p>
          <w:p w:rsidR="00446259" w:rsidRPr="00042BB8" w:rsidRDefault="00446259" w:rsidP="00042BB8">
            <w:pPr>
              <w:spacing w:after="0"/>
              <w:ind w:right="-534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>«Городской округ Ногликский» на 2015-2020 годы;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6259" w:rsidRPr="00042BB8" w:rsidTr="004363CC">
        <w:trPr>
          <w:gridAfter w:val="2"/>
          <w:wAfter w:w="283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firstLine="360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- Газификация МО «Городской округ Ногликский» на период 2015-2020 годы.</w:t>
            </w:r>
          </w:p>
        </w:tc>
      </w:tr>
      <w:tr w:rsidR="00446259" w:rsidRPr="00042BB8" w:rsidTr="004363CC">
        <w:trPr>
          <w:gridAfter w:val="1"/>
          <w:wAfter w:w="47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4</w:t>
            </w:r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.  Строительство – 1 </w:t>
            </w:r>
            <w:proofErr w:type="gramStart"/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программа:  </w:t>
            </w:r>
            <w:proofErr w:type="gram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46259" w:rsidRPr="00042BB8" w:rsidTr="004363CC">
        <w:trPr>
          <w:gridAfter w:val="2"/>
          <w:wAfter w:w="283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  - Обеспечение населения МО «Городской округ Ногликский» качественным жильем на 2015 – 2020 годы.</w:t>
            </w:r>
          </w:p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</w:t>
            </w:r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5. В сфере экономики и развития малого бизнеса – 2 программы:</w:t>
            </w:r>
          </w:p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- </w:t>
            </w: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>Стимулирование экономической активности в МО «Городской округ Ногликский» на период 2015-2020 годы;</w:t>
            </w:r>
          </w:p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 - Развитие инвестиционного потенциала МО «Городской округ Ногликский» на 2016-2020 годы.</w:t>
            </w:r>
          </w:p>
        </w:tc>
      </w:tr>
      <w:tr w:rsidR="00446259" w:rsidRPr="00042BB8" w:rsidTr="004363CC">
        <w:trPr>
          <w:gridAfter w:val="1"/>
          <w:wAfter w:w="47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6. </w:t>
            </w:r>
            <w:proofErr w:type="gramStart"/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Муниципальное  управление</w:t>
            </w:r>
            <w:proofErr w:type="gramEnd"/>
            <w:r w:rsidRPr="00042BB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- 3 программы: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</w:tr>
      <w:tr w:rsidR="00446259" w:rsidRPr="00042BB8" w:rsidTr="004363CC">
        <w:trPr>
          <w:gridAfter w:val="2"/>
          <w:wAfter w:w="283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- Управление муниципальными финансами МО «Городской округ Ногликский» на 2015-2020 годы;</w:t>
            </w:r>
          </w:p>
        </w:tc>
      </w:tr>
      <w:tr w:rsidR="00446259" w:rsidRPr="00042BB8" w:rsidTr="004363CC">
        <w:trPr>
          <w:gridAfter w:val="2"/>
          <w:wAfter w:w="283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sz w:val="28"/>
                <w:szCs w:val="28"/>
              </w:rPr>
              <w:t xml:space="preserve">      - Совершенствование системы муниципального управления в МО «Городской округ Ногликский» на 2015-2020 годы;</w:t>
            </w:r>
          </w:p>
        </w:tc>
      </w:tr>
      <w:tr w:rsidR="00446259" w:rsidRPr="00042BB8" w:rsidTr="004363CC">
        <w:trPr>
          <w:gridAfter w:val="2"/>
          <w:wAfter w:w="283" w:type="dxa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46259" w:rsidRPr="00042BB8" w:rsidRDefault="00446259" w:rsidP="00042BB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2BB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- Обеспечение безопасности жизнедеятельности населения в МО «Городской округ Ногликский» на 2015-2020 годы. </w:t>
            </w:r>
          </w:p>
        </w:tc>
      </w:tr>
    </w:tbl>
    <w:p w:rsidR="00446259" w:rsidRPr="00042BB8" w:rsidRDefault="00446259" w:rsidP="00042BB8">
      <w:pPr>
        <w:spacing w:after="0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446259" w:rsidRDefault="00446259" w:rsidP="00042B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2BB8">
        <w:rPr>
          <w:rFonts w:ascii="Times New Roman" w:hAnsi="Times New Roman" w:cs="Times New Roman"/>
          <w:sz w:val="28"/>
          <w:szCs w:val="28"/>
        </w:rPr>
        <w:t>В ходе реализации программных мероприятий совокупный объем освоенных средств составил</w:t>
      </w:r>
      <w:r w:rsidRPr="00042BB8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042BB8">
        <w:rPr>
          <w:rFonts w:ascii="Times New Roman" w:hAnsi="Times New Roman" w:cs="Times New Roman"/>
          <w:sz w:val="28"/>
          <w:szCs w:val="28"/>
        </w:rPr>
        <w:t xml:space="preserve">1,25 </w:t>
      </w:r>
      <w:proofErr w:type="spellStart"/>
      <w:proofErr w:type="gramStart"/>
      <w:r w:rsidRPr="00042BB8">
        <w:rPr>
          <w:rFonts w:ascii="Times New Roman" w:hAnsi="Times New Roman" w:cs="Times New Roman"/>
          <w:sz w:val="28"/>
          <w:szCs w:val="28"/>
        </w:rPr>
        <w:t>млрд.рублей</w:t>
      </w:r>
      <w:proofErr w:type="spellEnd"/>
      <w:r w:rsidRPr="00042BB8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042BB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42BB8">
        <w:rPr>
          <w:rFonts w:ascii="Times New Roman" w:hAnsi="Times New Roman" w:cs="Times New Roman"/>
          <w:sz w:val="28"/>
          <w:szCs w:val="28"/>
        </w:rPr>
        <w:t xml:space="preserve">факт 2015 г. - 1,9 </w:t>
      </w:r>
      <w:proofErr w:type="spellStart"/>
      <w:r w:rsidRPr="00042BB8">
        <w:rPr>
          <w:rFonts w:ascii="Times New Roman" w:hAnsi="Times New Roman" w:cs="Times New Roman"/>
          <w:sz w:val="28"/>
          <w:szCs w:val="28"/>
        </w:rPr>
        <w:t>млрд.рублей</w:t>
      </w:r>
      <w:proofErr w:type="spellEnd"/>
      <w:r w:rsidRPr="00042BB8">
        <w:rPr>
          <w:rFonts w:ascii="Times New Roman" w:hAnsi="Times New Roman" w:cs="Times New Roman"/>
          <w:sz w:val="28"/>
          <w:szCs w:val="28"/>
        </w:rPr>
        <w:t>).</w:t>
      </w:r>
    </w:p>
    <w:p w:rsidR="00042BB8" w:rsidRDefault="00042BB8" w:rsidP="00042B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2BB8" w:rsidRPr="00042BB8" w:rsidRDefault="00042BB8" w:rsidP="00042B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6259" w:rsidRDefault="00446259" w:rsidP="00446259">
      <w:pPr>
        <w:ind w:firstLine="708"/>
        <w:jc w:val="center"/>
        <w:rPr>
          <w:b/>
        </w:rPr>
      </w:pPr>
      <w:r w:rsidRPr="00044ABC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91175" cy="3571875"/>
            <wp:effectExtent l="0" t="0" r="0" b="0"/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46259" w:rsidRPr="00042BB8" w:rsidRDefault="00042BB8" w:rsidP="0044625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2BB8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965A43">
        <w:rPr>
          <w:rFonts w:ascii="Times New Roman" w:hAnsi="Times New Roman" w:cs="Times New Roman"/>
          <w:i/>
          <w:sz w:val="24"/>
          <w:szCs w:val="24"/>
        </w:rPr>
        <w:t>№ 23</w:t>
      </w:r>
    </w:p>
    <w:p w:rsidR="00446259" w:rsidRDefault="00446259" w:rsidP="00446259">
      <w:pPr>
        <w:ind w:firstLine="708"/>
        <w:jc w:val="center"/>
        <w:rPr>
          <w:b/>
        </w:rPr>
      </w:pPr>
    </w:p>
    <w:p w:rsidR="00446259" w:rsidRPr="00042BB8" w:rsidRDefault="00446259" w:rsidP="00042BB8">
      <w:pPr>
        <w:spacing w:after="0"/>
        <w:ind w:firstLine="709"/>
        <w:jc w:val="center"/>
        <w:rPr>
          <w:b/>
          <w:sz w:val="28"/>
          <w:szCs w:val="28"/>
        </w:rPr>
      </w:pPr>
      <w:r w:rsidRPr="00042BB8">
        <w:rPr>
          <w:b/>
          <w:sz w:val="28"/>
          <w:szCs w:val="28"/>
        </w:rPr>
        <w:t xml:space="preserve">Объем освоения финансовых средств по </w:t>
      </w:r>
    </w:p>
    <w:p w:rsidR="00446259" w:rsidRPr="00042BB8" w:rsidRDefault="00446259" w:rsidP="00042BB8">
      <w:pPr>
        <w:spacing w:after="0"/>
        <w:ind w:firstLine="709"/>
        <w:jc w:val="center"/>
        <w:rPr>
          <w:b/>
          <w:sz w:val="28"/>
          <w:szCs w:val="28"/>
        </w:rPr>
      </w:pPr>
      <w:r w:rsidRPr="00042BB8">
        <w:rPr>
          <w:b/>
          <w:sz w:val="28"/>
          <w:szCs w:val="28"/>
        </w:rPr>
        <w:t xml:space="preserve">программам МО «Городской округ Ногликский» </w:t>
      </w:r>
    </w:p>
    <w:p w:rsidR="00446259" w:rsidRPr="00042BB8" w:rsidRDefault="00446259" w:rsidP="00042BB8">
      <w:pPr>
        <w:spacing w:after="0"/>
        <w:ind w:firstLine="709"/>
        <w:jc w:val="center"/>
        <w:rPr>
          <w:b/>
          <w:sz w:val="28"/>
          <w:szCs w:val="28"/>
        </w:rPr>
      </w:pPr>
      <w:r w:rsidRPr="00042BB8">
        <w:rPr>
          <w:b/>
          <w:sz w:val="28"/>
          <w:szCs w:val="28"/>
        </w:rPr>
        <w:t>в 2015 – 2016 гг.  (млн.</w:t>
      </w:r>
      <w:r w:rsidR="00042BB8">
        <w:rPr>
          <w:b/>
          <w:sz w:val="28"/>
          <w:szCs w:val="28"/>
        </w:rPr>
        <w:t xml:space="preserve"> </w:t>
      </w:r>
      <w:r w:rsidRPr="00042BB8">
        <w:rPr>
          <w:b/>
          <w:sz w:val="28"/>
          <w:szCs w:val="28"/>
        </w:rPr>
        <w:t>рублей)</w:t>
      </w:r>
    </w:p>
    <w:p w:rsidR="00446259" w:rsidRDefault="00446259" w:rsidP="00446259">
      <w:pPr>
        <w:ind w:firstLine="708"/>
        <w:jc w:val="center"/>
        <w:rPr>
          <w:b/>
        </w:rPr>
      </w:pPr>
    </w:p>
    <w:p w:rsidR="00377E21" w:rsidRDefault="00446259" w:rsidP="00446259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380264">
        <w:rPr>
          <w:b/>
          <w:noProof/>
          <w:lang w:eastAsia="ru-RU"/>
        </w:rPr>
        <w:drawing>
          <wp:inline distT="0" distB="0" distL="0" distR="0">
            <wp:extent cx="5667375" cy="3409950"/>
            <wp:effectExtent l="0" t="0" r="0" b="0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42BB8" w:rsidRDefault="00042BB8" w:rsidP="00446259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42BB8" w:rsidRDefault="00042BB8" w:rsidP="00446259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42BB8"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 w:rsidR="00965A43">
        <w:rPr>
          <w:rFonts w:ascii="Times New Roman" w:hAnsi="Times New Roman" w:cs="Times New Roman"/>
          <w:i/>
          <w:sz w:val="24"/>
          <w:szCs w:val="24"/>
        </w:rPr>
        <w:t>№ 24</w:t>
      </w:r>
    </w:p>
    <w:p w:rsidR="00042BB8" w:rsidRDefault="00042BB8" w:rsidP="00446259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42BB8" w:rsidRDefault="00042BB8" w:rsidP="00446259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BB8">
        <w:rPr>
          <w:rFonts w:ascii="Times New Roman" w:hAnsi="Times New Roman" w:cs="Times New Roman"/>
          <w:b/>
          <w:sz w:val="28"/>
          <w:szCs w:val="28"/>
        </w:rPr>
        <w:t>Социальная сфера</w:t>
      </w:r>
    </w:p>
    <w:p w:rsidR="00B64CAF" w:rsidRPr="004051FD" w:rsidRDefault="004051FD" w:rsidP="00B64CAF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51FD">
        <w:rPr>
          <w:rFonts w:ascii="Times New Roman" w:hAnsi="Times New Roman" w:cs="Times New Roman"/>
          <w:b/>
          <w:i/>
          <w:sz w:val="28"/>
          <w:szCs w:val="28"/>
        </w:rPr>
        <w:t>Система образования</w:t>
      </w:r>
    </w:p>
    <w:p w:rsidR="004051FD" w:rsidRDefault="004051FD" w:rsidP="00B64CAF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51FD" w:rsidRPr="00B64CAF" w:rsidRDefault="004051FD" w:rsidP="004051FD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CA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35B621" wp14:editId="64990660">
            <wp:extent cx="5864225" cy="3571875"/>
            <wp:effectExtent l="0" t="0" r="3175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051FD" w:rsidRPr="00701024" w:rsidRDefault="00701024" w:rsidP="00701024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Рисунок № 25</w:t>
      </w:r>
    </w:p>
    <w:p w:rsidR="004051FD" w:rsidRDefault="004051FD" w:rsidP="004051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CAF" w:rsidRPr="00B64CAF" w:rsidRDefault="00B64CAF" w:rsidP="004051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округа функционирует 11 образовательных учреждений подведомственных органу управления образованием.</w:t>
      </w:r>
    </w:p>
    <w:p w:rsidR="00B64CAF" w:rsidRP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Услугами дошкольного образования охвачено 729 ребёнка (в том числе 140-в дошкольных группах при СОШ), что составляет 70,8 % от всех детей в возрасте от рождения до 7 лет, проживающих на территории муниципального образования, а от 3 до 7 лет – охват детей составляет -  100 %.</w:t>
      </w:r>
    </w:p>
    <w:p w:rsidR="00B64CAF" w:rsidRDefault="00B64CAF" w:rsidP="00B64CAF">
      <w:pPr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01.01.2017 года очередь в дошкольные учреждения составляла 205 детей (на 01.01.16 - 209 чел.), из них 94,1 % в возрасте от 0 до 2 лет. В городском округе отсутствует очередь в детский сад детей от 3 до 7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Введено в эксплуатацию новое здание для дошкольного учреждения и в июле детский сад «Березка» принял 106 воспитанников</w:t>
      </w:r>
      <w:r w:rsidRPr="00B64C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из которых 65- воспитанники д/с № 10 «Ласточка», здание которого снесено из-за 100% износа. В настоящее время д/с «Березка» посещают 130 воспитанников.</w:t>
      </w:r>
    </w:p>
    <w:p w:rsid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64CAF" w:rsidRP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E9BF67" wp14:editId="656099AC">
            <wp:extent cx="5772150" cy="3827145"/>
            <wp:effectExtent l="0" t="0" r="0" b="1905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CAF" w:rsidRDefault="00B64CAF" w:rsidP="00B64CA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64CAF" w:rsidRPr="00B64CAF" w:rsidRDefault="00B64CAF" w:rsidP="00B64CA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Детский сад «Березка»</w:t>
      </w:r>
    </w:p>
    <w:p w:rsid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CAF" w:rsidRP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Федерального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государственного образовательного стандарта дошкольного образования (ФГОС ДО) в течение 2016 года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пополнялась материально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-техническая база учреждений. На это было израсходовано: 4 969,2</w:t>
      </w:r>
      <w:r w:rsid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областного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бюджета; 2 078,7</w:t>
      </w:r>
      <w:r w:rsid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местного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бюджета; 3 201,7 тысяч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 внебюджетных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средств.</w:t>
      </w:r>
    </w:p>
    <w:p w:rsidR="00B64CAF" w:rsidRP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59 педагогов дошкольных образовательных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прошли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курсы повышения квалификации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ФГОС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ДО.</w:t>
      </w:r>
    </w:p>
    <w:p w:rsidR="00B64CAF" w:rsidRPr="00B64CAF" w:rsidRDefault="00B64CAF" w:rsidP="00B64C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воспитанник детского сада № 1 «Светлячок» получал платные образовательные услуги. В двух детских садах оказываются услуги по стирке белья. От оказания платных услуг в бюджет дошкольных </w:t>
      </w:r>
      <w:r w:rsidR="004051FD"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поступило</w:t>
      </w:r>
      <w:r w:rsidRPr="00B64C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240,1 тысяч рублей.</w:t>
      </w:r>
      <w:r w:rsidRPr="00B64C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:rsidR="004051FD" w:rsidRP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трех городских и двух сельских школах обучалось 1449 человек, из них 43 человека – обучающиеся заочных классов при МБОУ СОШ № 1 п. Ноглики.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общеобразовательных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учреждениях обучалось 24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детей - инвалидов, из них по адаптированным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программам для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детей с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задержкой психического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развития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детей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умственной отсталостью (интеллектуальными нарушениями) -12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человек; с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применением дистанционных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технологий обучалось четверо детей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-инвалидов.      </w:t>
      </w:r>
    </w:p>
    <w:p w:rsidR="004051FD" w:rsidRPr="004051FD" w:rsidRDefault="004051FD" w:rsidP="004051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целях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обеспечения безопасной перевозки,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обучающихся к месту учебы и обратно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2016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году</w:t>
      </w:r>
      <w:r w:rsidRPr="004051F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было получено два новых автобуса для МБОУ СОШ № 1. Один автобус получен за счет средств областного бюджета, второй за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счёт средств ООО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«Газпром геологоразведка». Всего в перевозке было </w:t>
      </w:r>
      <w:r w:rsidR="00CF2F86"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задействовано 5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автобусов марки ПАЗ и 1 Газель «Луидор-2250Е0». Все 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транспортные средства оснащены согласно требованиям. Количество имеющихся автобусов соответствует необходимой потребности.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051FD" w:rsidRPr="004051FD" w:rsidRDefault="004051FD" w:rsidP="004051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2016 году горячее питание получали 1379 (97</w:t>
      </w:r>
      <w:r w:rsidR="00CF2F86"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 учащихся</w:t>
      </w:r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</w:t>
      </w:r>
      <w:proofErr w:type="gramStart"/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  817</w:t>
      </w:r>
      <w:proofErr w:type="gramEnd"/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человек, относящихся к льготной категории, получают бесплатное питание из средств областного и местного бюджетов. Всего на питание обучающихся израсходовано: из областного бюджета 9 540,2 тыс. руб., местного бюджета – 3 421,4 тыс. руб., родительская плата составила – 8 054,8 тыс. руб.  Дополнительно в рацион для </w:t>
      </w:r>
      <w:r w:rsidR="00CF2F86"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учащихся</w:t>
      </w:r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1-4 классов </w:t>
      </w:r>
      <w:proofErr w:type="gramStart"/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учащихся</w:t>
      </w:r>
      <w:proofErr w:type="gramEnd"/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5-11 классов из малоимущих семей, семей, находящихся в социально опасном положении, семей коренных малочисленных народов Севера Сахалинской области  введено  молоко за счёт средств областного бюджета.</w:t>
      </w:r>
    </w:p>
    <w:p w:rsidR="004051FD" w:rsidRPr="004051FD" w:rsidRDefault="004051FD" w:rsidP="004051F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подготовку образовательных учреждений за год было израсходовано 9</w:t>
      </w:r>
      <w:r w:rsidR="00CF2F86">
        <w:rPr>
          <w:rFonts w:ascii="Times New Roman" w:eastAsia="Times New Roman" w:hAnsi="Times New Roman" w:cs="Times New Roman"/>
          <w:sz w:val="28"/>
          <w:szCs w:val="28"/>
          <w:lang w:eastAsia="ru-RU"/>
        </w:rPr>
        <w:t>,6 млн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руб. средств местного бюджета. </w:t>
      </w:r>
    </w:p>
    <w:p w:rsid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100% школ имеют все виды благоустройства, </w:t>
      </w:r>
      <w:r w:rsidR="00CF2F86"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оборудованы системами автоматической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пожарной сигнализации, 80 % </w:t>
      </w:r>
      <w:r w:rsidR="00CF2F86"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 имеют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лицензированные медицинские кабинеты. Во всех общеобразовательных учреждениях имеется достаточная компьютерная база. Оборудованы компьютерами все  школьные библиотеки; кабинеты начальной школы  на 100 % укомплектованы интерактивными досками; в 2016 году кампанией Эксон </w:t>
      </w:r>
      <w:proofErr w:type="spellStart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Нефтегаз</w:t>
      </w:r>
      <w:proofErr w:type="spellEnd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Лимитед и институтом развития образования Сахалинской области в рамках программы по работе с одаренными детьми  МБОУ Гимназии передан кабинет математики и  за счёт средств областного бюджета получен кабинет и  мобильная интерактивная лаборатория по химии, МБОУ СОШ № 1 получен кабинет и  мобильная интерактивная лаборатория по физике,  из разных бюджетов в школы поставле</w:t>
      </w:r>
      <w:r w:rsidR="00CF2F86">
        <w:rPr>
          <w:rFonts w:ascii="Times New Roman" w:eastAsia="Times New Roman" w:hAnsi="Times New Roman" w:cs="Times New Roman"/>
          <w:sz w:val="28"/>
          <w:szCs w:val="28"/>
          <w:lang w:eastAsia="ru-RU"/>
        </w:rPr>
        <w:t>ны учебники на сумму 2,1 млн.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во всех  школах созданы и функционируют   официальные </w:t>
      </w:r>
      <w:proofErr w:type="spellStart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-сайты. </w:t>
      </w:r>
    </w:p>
    <w:p w:rsidR="004051FD" w:rsidRPr="004051FD" w:rsidRDefault="00CF2F86" w:rsidP="004051FD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Всё </w:t>
      </w:r>
      <w:proofErr w:type="gramStart"/>
      <w:r w:rsidRPr="004051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вышесказанное</w:t>
      </w:r>
      <w:r w:rsidR="004051FD" w:rsidRPr="004051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дало</w:t>
      </w:r>
      <w:proofErr w:type="gramEnd"/>
      <w:r w:rsidR="004051FD" w:rsidRPr="004051FD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возможность  более полно внедрять в учебный процесс компьютерные обучающие программы и электронные образовательные ресурсы, позволило педагогам   пройти дистанционное обучение в рамках повышения квалификации и  виртуально  участвовать в   различных  веб-уроках и веб-конференциях, предоставлять информацию о текущей успеваемости обучающихся в электронном виде, ведение электронного дневника и электронного журнала успеваемости.</w:t>
      </w:r>
    </w:p>
    <w:p w:rsid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51FD" w:rsidRP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DF2FA8" wp14:editId="0710332F">
            <wp:extent cx="5940425" cy="3425825"/>
            <wp:effectExtent l="0" t="0" r="3175" b="3175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FD" w:rsidRPr="004051FD" w:rsidRDefault="004051FD" w:rsidP="004051F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Кабинет математики МБОУ Гимназия (передан компанией Эксон </w:t>
      </w:r>
      <w:proofErr w:type="spellStart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Нефтегаз</w:t>
      </w:r>
      <w:proofErr w:type="spellEnd"/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Лимитед)</w:t>
      </w:r>
    </w:p>
    <w:p w:rsid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051FD" w:rsidRP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 государственной итоговой аттестации в 2016 году приняли участие 85 выпускников текущего года из 11-12 классов, из них по обязательным предметам   с аттестацией не справились 2 чел. (</w:t>
      </w:r>
      <w:proofErr w:type="spellStart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</w:t>
      </w:r>
      <w:proofErr w:type="spellEnd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классы) по русскому языку и 3чел. (1 очные, 2 </w:t>
      </w:r>
      <w:proofErr w:type="spellStart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</w:t>
      </w:r>
      <w:proofErr w:type="spellEnd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.) по базовой математике (в 2015 г.-13 выпускников).</w:t>
      </w:r>
      <w:r w:rsidRPr="004051F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</w:p>
    <w:p w:rsidR="004051FD" w:rsidRPr="004051FD" w:rsidRDefault="004051FD" w:rsidP="004051FD">
      <w:pPr>
        <w:shd w:val="clear" w:color="auto" w:fill="FFFFFF"/>
        <w:spacing w:before="60"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Свыше 60 баллов по 11 предметам набрали 23 выпускника, свыше 70 баллов- 43 чел.</w:t>
      </w:r>
      <w:r w:rsidRPr="004051F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4051FD" w:rsidRP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8 учащихся (5 Гимназия, 3 – СОШ № 2) получили медаль «За особые успехи в учении», трое из них отмечены Почетным знаком Сахалинской области.</w:t>
      </w:r>
    </w:p>
    <w:p w:rsidR="004051FD" w:rsidRP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4051F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образования «Городской округ Ногликский» осуществляет меры поддержки одаренных детей. На ежегодном районном мероприятии «Бал отличников» 59 обучающихся награждены за успехи в учебе, Бурцеву Александру, ученику 10 класса Гимназии   вручена именная стипендия мэра муниципального образования «Городской округ Ногликский».  Традиционно   по итогам учебного года на торжественной линейке «Последний звонок» семи выпускникам 11 класса и в День защиты детей 20 обучающимся с 4 по11 класс вручены премии    за достижения в учении, спорте, творческой деятельности. В отчетном году именная стипендия Сахалинской области присуждена обучающейся 10 класса Гимназии </w:t>
      </w:r>
      <w:proofErr w:type="spellStart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Антипичевой</w:t>
      </w:r>
      <w:proofErr w:type="spellEnd"/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Маргарите. В областной военно-спортивной игре «Победа» команда Гимназии «МИГ» заняла первое место и представляла Сахалинскую область на федеральном уровне в г. Волгограде.</w:t>
      </w:r>
      <w:r w:rsidRPr="004051F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Пятерым обучающимся школ городского округа вручена премия Сахалинской области для поддержки талантливой молодежи. В качестве поощрения обучающихся, принимающих 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активное участие в жизни района 8 человек были направлены во всесоюзные детские центры «Океан» и «Орленок», 4 человека в международный детский центр Артек», 3 человека в лагерь «Нахимовец» г. Севастополь.</w:t>
      </w:r>
      <w:r w:rsidRPr="004051F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4051FD" w:rsidRPr="004051FD" w:rsidRDefault="004051FD" w:rsidP="00405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 xml:space="preserve">         </w:t>
      </w:r>
      <w:r w:rsidRPr="004051F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территории городского округа в школах реализуются дополнительные общеобразовательные программы.     В школах работают кружки, спортивные секции и объединения (42 ед.), в которых занимаются 478 (34 %) обучающихся. В Центре детского творчества функционирует 16 кружков, которые посещали 465   обучающихся. Занятия в кружках и объединениях доступны для всех желающих и велись на безвозмездной основе. </w:t>
      </w:r>
    </w:p>
    <w:p w:rsidR="004051FD" w:rsidRPr="004051FD" w:rsidRDefault="004051FD" w:rsidP="00405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Всего в системе образования работает 237 педагогических работников, занимающих 298,9 ставок, из них: воспитателей – 58 (56 ставок), учителей - 119 человек (157,7 ставок), в среднем на одного учителя приходится 1,3 ставки. С целью привлечения учителей в 2016 году приобретена   трехкомнатная квартира в п. Ноглики, в которой живут три молодых специалиста, два </w:t>
      </w:r>
      <w:r w:rsidR="00CF2F86"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прибыли на работу в 2016 году, учитель английского языка в СОШ № 1 и учитель </w:t>
      </w:r>
      <w:r w:rsidR="00CF2F86"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 и</w:t>
      </w: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 в Гимназию.</w:t>
      </w:r>
    </w:p>
    <w:p w:rsidR="004051FD" w:rsidRDefault="004051FD" w:rsidP="004051FD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51F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оценки качества услуг, предоставляемых муниципальными бюджетными образовательными организациями на территории муниципального образования «Городской округ Ногликский», реализации Указа</w:t>
      </w:r>
      <w:r w:rsidRPr="004051FD">
        <w:rPr>
          <w:rFonts w:ascii="Times New Roman" w:eastAsia="Times New Roman" w:hAnsi="Times New Roman" w:cs="Times New Roman"/>
          <w:color w:val="365F91"/>
          <w:sz w:val="28"/>
          <w:szCs w:val="28"/>
          <w:lang w:eastAsia="ru-RU"/>
        </w:rPr>
        <w:t> </w:t>
      </w:r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 мероприятиях по реализации государственной социальной политики», федерального закона от 29.12.2012 г.  № 273-ФЗ </w:t>
      </w:r>
      <w:r w:rsidR="00CF2F86"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</w:t>
      </w:r>
      <w:r w:rsidRPr="004051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образовании в Российской Федерации» в 2016 году в двух школах (СОШ с. Ныш, СОШ с. Вал) и двух детских садах (детский сад «Ромашка» и «Островок») проведена независимая оценка качества услуг, предоставляемых образовательными учреждениями. По результатам проведения НОКО сумма баллов составила: СОШ с. Вал – 109,7; СОШ   с. Ныш - 106,1; д/с «Ромашка» -  87,1; д/с «Островок» - 83,7. Для улучшения качества предоставляемых услуг образовательным учреждениям даны рекомендации. В 2017 году запланировано проведение независимой оценки качества среди оставшихся 7 учреждений, подведомственных отделу образования (3 -  школы, 3 – детских сада, Центр творчества и воспитания).</w:t>
      </w:r>
    </w:p>
    <w:p w:rsidR="004051FD" w:rsidRPr="004051FD" w:rsidRDefault="004051FD" w:rsidP="004051FD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Культура</w:t>
      </w:r>
    </w:p>
    <w:p w:rsidR="004363CC" w:rsidRPr="002E5014" w:rsidRDefault="004363CC" w:rsidP="004363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E5014">
        <w:rPr>
          <w:rFonts w:ascii="Times New Roman" w:hAnsi="Times New Roman"/>
          <w:sz w:val="28"/>
          <w:szCs w:val="28"/>
        </w:rPr>
        <w:t>По состоянию на 01 января 2017 год</w:t>
      </w:r>
      <w:r>
        <w:rPr>
          <w:rFonts w:ascii="Times New Roman" w:hAnsi="Times New Roman"/>
          <w:sz w:val="28"/>
          <w:szCs w:val="28"/>
        </w:rPr>
        <w:t xml:space="preserve">а сеть учреждений культуры </w:t>
      </w:r>
      <w:r w:rsidRPr="002E5014">
        <w:rPr>
          <w:rFonts w:ascii="Times New Roman" w:hAnsi="Times New Roman"/>
          <w:sz w:val="28"/>
          <w:szCs w:val="28"/>
        </w:rPr>
        <w:t>включает в себя 12 учреждений, уровень фактической обеспеченности учреждениями культуры от нормативной потребности в округе составил:</w:t>
      </w:r>
    </w:p>
    <w:p w:rsidR="004363CC" w:rsidRPr="002E5014" w:rsidRDefault="004363CC" w:rsidP="004363C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E5014">
        <w:rPr>
          <w:rFonts w:ascii="Times New Roman" w:hAnsi="Times New Roman"/>
          <w:sz w:val="28"/>
          <w:szCs w:val="28"/>
        </w:rPr>
        <w:t>- обеспеченность клубами и учреждениями клубного типа – 100%</w:t>
      </w:r>
    </w:p>
    <w:p w:rsidR="004363CC" w:rsidRPr="004363CC" w:rsidRDefault="004363CC" w:rsidP="00436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hAnsi="Times New Roman" w:cs="Times New Roman"/>
          <w:sz w:val="28"/>
          <w:szCs w:val="28"/>
        </w:rPr>
        <w:t>- обеспеченность библиотеками – 116%.</w:t>
      </w:r>
    </w:p>
    <w:p w:rsidR="004363CC" w:rsidRPr="004363CC" w:rsidRDefault="004363CC" w:rsidP="004363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hAnsi="Times New Roman" w:cs="Times New Roman"/>
          <w:color w:val="000000"/>
          <w:sz w:val="28"/>
          <w:szCs w:val="28"/>
        </w:rPr>
        <w:t>Учреждения формируют и предлагают населению широкий спектр культурных, образовательных и информационных услуг.</w:t>
      </w:r>
      <w:r w:rsidRPr="00436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51FD" w:rsidRPr="004051FD" w:rsidRDefault="004051FD" w:rsidP="004051FD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051FD" w:rsidRPr="004051FD" w:rsidRDefault="004363CC" w:rsidP="004051FD">
      <w:pPr>
        <w:spacing w:after="200" w:line="276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7C568F" wp14:editId="59119094">
            <wp:extent cx="5675630" cy="3676650"/>
            <wp:effectExtent l="0" t="0" r="127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379" cy="36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CC" w:rsidRDefault="004363CC" w:rsidP="004363CC">
      <w:pPr>
        <w:spacing w:after="0"/>
        <w:ind w:firstLine="567"/>
        <w:jc w:val="both"/>
      </w:pPr>
      <w:r w:rsidRPr="000326BF">
        <w:rPr>
          <w:rFonts w:ascii="Times New Roman" w:hAnsi="Times New Roman"/>
          <w:sz w:val="28"/>
          <w:szCs w:val="28"/>
        </w:rPr>
        <w:t xml:space="preserve">Учреждениями культуры </w:t>
      </w:r>
      <w:r w:rsidRPr="004363CC">
        <w:rPr>
          <w:rFonts w:ascii="Times New Roman" w:hAnsi="Times New Roman"/>
          <w:i/>
          <w:sz w:val="28"/>
          <w:szCs w:val="28"/>
        </w:rPr>
        <w:t>досуговой направленности</w:t>
      </w:r>
      <w:r w:rsidRPr="000326BF">
        <w:rPr>
          <w:rFonts w:ascii="Times New Roman" w:hAnsi="Times New Roman"/>
          <w:sz w:val="28"/>
          <w:szCs w:val="28"/>
        </w:rPr>
        <w:t xml:space="preserve"> было проведено</w:t>
      </w:r>
      <w:r>
        <w:rPr>
          <w:rFonts w:ascii="Times New Roman" w:hAnsi="Times New Roman"/>
          <w:sz w:val="28"/>
          <w:szCs w:val="28"/>
        </w:rPr>
        <w:t xml:space="preserve"> 230</w:t>
      </w:r>
      <w:r w:rsidRPr="00032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(годом ранее -</w:t>
      </w:r>
      <w:r w:rsidRPr="000326BF">
        <w:rPr>
          <w:rFonts w:ascii="Times New Roman" w:hAnsi="Times New Roman"/>
          <w:sz w:val="28"/>
          <w:szCs w:val="28"/>
        </w:rPr>
        <w:t>415</w:t>
      </w:r>
      <w:r>
        <w:rPr>
          <w:rFonts w:ascii="Times New Roman" w:hAnsi="Times New Roman"/>
          <w:sz w:val="28"/>
          <w:szCs w:val="28"/>
        </w:rPr>
        <w:t xml:space="preserve">), </w:t>
      </w:r>
      <w:r w:rsidRPr="000326BF">
        <w:rPr>
          <w:rFonts w:ascii="Times New Roman" w:hAnsi="Times New Roman"/>
          <w:sz w:val="28"/>
          <w:szCs w:val="28"/>
        </w:rPr>
        <w:t xml:space="preserve">которые посетили </w:t>
      </w:r>
      <w:r>
        <w:rPr>
          <w:rFonts w:ascii="Times New Roman" w:hAnsi="Times New Roman"/>
          <w:sz w:val="28"/>
          <w:szCs w:val="28"/>
        </w:rPr>
        <w:t>более 20 тыс. чел. (в 2015 г.- 30,2 тыс. чел</w:t>
      </w:r>
      <w:r w:rsidRPr="000326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).</w:t>
      </w:r>
      <w:r>
        <w:t xml:space="preserve">  </w:t>
      </w:r>
      <w:r w:rsidRPr="00A37D90">
        <w:rPr>
          <w:rFonts w:ascii="Times New Roman" w:hAnsi="Times New Roman"/>
          <w:sz w:val="28"/>
          <w:szCs w:val="28"/>
        </w:rPr>
        <w:t>Коллективы художественной самодеятельности принимали участие во Всероссийских и областных фестивалях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37D90">
        <w:rPr>
          <w:rFonts w:ascii="Times New Roman" w:hAnsi="Times New Roman"/>
          <w:sz w:val="28"/>
          <w:szCs w:val="28"/>
        </w:rPr>
        <w:t xml:space="preserve"> В марте на территории округа прошел Х</w:t>
      </w:r>
      <w:r w:rsidRPr="00A37D90">
        <w:rPr>
          <w:rFonts w:ascii="Times New Roman" w:hAnsi="Times New Roman"/>
          <w:sz w:val="28"/>
          <w:szCs w:val="28"/>
          <w:lang w:val="en-US"/>
        </w:rPr>
        <w:t>II</w:t>
      </w:r>
      <w:r w:rsidRPr="00A37D90">
        <w:rPr>
          <w:rFonts w:ascii="Times New Roman" w:hAnsi="Times New Roman"/>
          <w:sz w:val="28"/>
          <w:szCs w:val="28"/>
        </w:rPr>
        <w:t xml:space="preserve"> Областной праздник КМНС Сахалинской области</w:t>
      </w:r>
      <w:r>
        <w:t>.</w:t>
      </w:r>
    </w:p>
    <w:p w:rsidR="004363CC" w:rsidRPr="004363CC" w:rsidRDefault="004363CC" w:rsidP="00436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hAnsi="Times New Roman" w:cs="Times New Roman"/>
          <w:sz w:val="28"/>
          <w:szCs w:val="28"/>
        </w:rPr>
        <w:t xml:space="preserve">  Коллективы художественной самодеятельности принимали участие во Всероссийских и областных фестивалях: Всероссийском Х</w:t>
      </w:r>
      <w:r w:rsidRPr="004363C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63CC">
        <w:rPr>
          <w:rFonts w:ascii="Times New Roman" w:hAnsi="Times New Roman" w:cs="Times New Roman"/>
          <w:sz w:val="28"/>
          <w:szCs w:val="28"/>
        </w:rPr>
        <w:t xml:space="preserve"> фестивале КМНС «Кочевье Севера 2016» г. Москва (Ансамбль </w:t>
      </w:r>
      <w:r w:rsidR="00CF2F86" w:rsidRPr="004363C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F2F86" w:rsidRPr="004363CC">
        <w:rPr>
          <w:rFonts w:ascii="Times New Roman" w:hAnsi="Times New Roman" w:cs="Times New Roman"/>
          <w:sz w:val="28"/>
          <w:szCs w:val="28"/>
        </w:rPr>
        <w:t>Ари</w:t>
      </w:r>
      <w:proofErr w:type="spellEnd"/>
      <w:r w:rsidR="00CF2F86">
        <w:rPr>
          <w:rFonts w:ascii="Times New Roman" w:hAnsi="Times New Roman" w:cs="Times New Roman"/>
          <w:sz w:val="28"/>
          <w:szCs w:val="28"/>
        </w:rPr>
        <w:t xml:space="preserve"> -Л</w:t>
      </w:r>
      <w:r w:rsidRPr="004363CC">
        <w:rPr>
          <w:rFonts w:ascii="Times New Roman" w:hAnsi="Times New Roman" w:cs="Times New Roman"/>
          <w:sz w:val="28"/>
          <w:szCs w:val="28"/>
        </w:rPr>
        <w:t xml:space="preserve">а-миф»), в Областном празднике русской культуры «Троицкий перезвон», </w:t>
      </w:r>
      <w:r w:rsidR="00CF2F86" w:rsidRPr="004363CC">
        <w:rPr>
          <w:rFonts w:ascii="Times New Roman" w:hAnsi="Times New Roman" w:cs="Times New Roman"/>
          <w:sz w:val="28"/>
          <w:szCs w:val="28"/>
        </w:rPr>
        <w:t>в Областном</w:t>
      </w:r>
      <w:r w:rsidRPr="004363CC">
        <w:rPr>
          <w:rFonts w:ascii="Times New Roman" w:hAnsi="Times New Roman" w:cs="Times New Roman"/>
          <w:sz w:val="28"/>
          <w:szCs w:val="28"/>
        </w:rPr>
        <w:t xml:space="preserve"> фестивале-конкурсе современной </w:t>
      </w:r>
      <w:proofErr w:type="gramStart"/>
      <w:r w:rsidRPr="004363CC">
        <w:rPr>
          <w:rFonts w:ascii="Times New Roman" w:hAnsi="Times New Roman" w:cs="Times New Roman"/>
          <w:sz w:val="28"/>
          <w:szCs w:val="28"/>
        </w:rPr>
        <w:t>хореографии  «</w:t>
      </w:r>
      <w:proofErr w:type="gramEnd"/>
      <w:r w:rsidRPr="004363CC">
        <w:rPr>
          <w:rFonts w:ascii="Times New Roman" w:hAnsi="Times New Roman" w:cs="Times New Roman"/>
          <w:sz w:val="28"/>
          <w:szCs w:val="28"/>
        </w:rPr>
        <w:t xml:space="preserve">Импульс нового времени», в </w:t>
      </w:r>
      <w:r w:rsidRPr="004363C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363CC">
        <w:rPr>
          <w:rFonts w:ascii="Times New Roman" w:hAnsi="Times New Roman" w:cs="Times New Roman"/>
          <w:sz w:val="28"/>
          <w:szCs w:val="28"/>
        </w:rPr>
        <w:t xml:space="preserve"> фестивале народного творчества «Звезды Северной столицы» в г. Оха.</w:t>
      </w:r>
    </w:p>
    <w:p w:rsidR="004363CC" w:rsidRPr="004363CC" w:rsidRDefault="004363CC" w:rsidP="004363CC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63CC">
        <w:rPr>
          <w:rFonts w:ascii="Times New Roman" w:hAnsi="Times New Roman" w:cs="Times New Roman"/>
          <w:sz w:val="28"/>
          <w:szCs w:val="28"/>
        </w:rPr>
        <w:t xml:space="preserve">        В марте на территории округа прошел Х</w:t>
      </w:r>
      <w:r w:rsidRPr="004363C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63CC">
        <w:rPr>
          <w:rFonts w:ascii="Times New Roman" w:hAnsi="Times New Roman" w:cs="Times New Roman"/>
          <w:sz w:val="28"/>
          <w:szCs w:val="28"/>
        </w:rPr>
        <w:t xml:space="preserve"> Областной праздник КМНС Сахалинской области. </w:t>
      </w:r>
      <w:r w:rsidRPr="004363CC">
        <w:rPr>
          <w:rFonts w:ascii="Times New Roman" w:eastAsia="Calibri" w:hAnsi="Times New Roman" w:cs="Times New Roman"/>
          <w:sz w:val="28"/>
          <w:szCs w:val="28"/>
        </w:rPr>
        <w:t xml:space="preserve">В рамках праздника состоялся смотр-конкурс национальных творческих коллективов, соревнования по национальным видам спорта, выставка декоративно-прикладного творчества, дегустация национальной кухни.  </w:t>
      </w:r>
    </w:p>
    <w:p w:rsidR="004051FD" w:rsidRPr="004051FD" w:rsidRDefault="004363CC" w:rsidP="00436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eastAsia="Calibri" w:hAnsi="Times New Roman" w:cs="Times New Roman"/>
          <w:sz w:val="28"/>
          <w:szCs w:val="28"/>
        </w:rPr>
        <w:t>Особое внимание уделяется патриотическому воспитанию населения. Были проведены Всероссийские акции: «Георгиевская лента», «Бессмертный полк», «Свеча памяти».</w:t>
      </w:r>
    </w:p>
    <w:p w:rsidR="004363CC" w:rsidRPr="004363CC" w:rsidRDefault="004363CC" w:rsidP="004363CC">
      <w:pPr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eastAsia="Calibri" w:hAnsi="Times New Roman" w:cs="Times New Roman"/>
          <w:kern w:val="3"/>
          <w:sz w:val="28"/>
          <w:szCs w:val="28"/>
          <w:lang w:eastAsia="ja-JP" w:bidi="fa-IR"/>
        </w:rPr>
        <w:t xml:space="preserve">    </w:t>
      </w:r>
      <w:r w:rsidRPr="004363CC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363CC">
        <w:rPr>
          <w:rFonts w:ascii="Times New Roman" w:hAnsi="Times New Roman" w:cs="Times New Roman"/>
          <w:sz w:val="28"/>
          <w:szCs w:val="28"/>
        </w:rPr>
        <w:t xml:space="preserve">Позиционирование и презентации выставок для МБУК </w:t>
      </w:r>
      <w:r w:rsidRPr="004363CC">
        <w:rPr>
          <w:rFonts w:ascii="Times New Roman" w:hAnsi="Times New Roman" w:cs="Times New Roman"/>
          <w:i/>
          <w:sz w:val="28"/>
          <w:szCs w:val="28"/>
        </w:rPr>
        <w:t>Ногликский краеведческий музей</w:t>
      </w:r>
      <w:r w:rsidRPr="004363CC">
        <w:rPr>
          <w:rFonts w:ascii="Times New Roman" w:hAnsi="Times New Roman" w:cs="Times New Roman"/>
          <w:sz w:val="28"/>
          <w:szCs w:val="28"/>
        </w:rPr>
        <w:t xml:space="preserve"> являются одной из ведущих форм публичной деятельности. Экспозиционно-выставочная деятельность была представлена 33 выставками, было проведено 210 лекций, посещение        </w:t>
      </w:r>
      <w:r w:rsidRPr="004363CC">
        <w:rPr>
          <w:rFonts w:ascii="Times New Roman" w:hAnsi="Times New Roman" w:cs="Times New Roman"/>
          <w:color w:val="000000"/>
          <w:sz w:val="28"/>
          <w:szCs w:val="28"/>
        </w:rPr>
        <w:t xml:space="preserve"> музея составило 10 283 человека.</w:t>
      </w:r>
      <w:r w:rsidRPr="00436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3CC" w:rsidRDefault="004363CC" w:rsidP="004363C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E51EA66" wp14:editId="21A57E6C">
            <wp:extent cx="5772150" cy="3457575"/>
            <wp:effectExtent l="0" t="0" r="0" b="9525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41" cy="345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3CC" w:rsidRPr="004363CC" w:rsidRDefault="004363CC" w:rsidP="004363CC">
      <w:pPr>
        <w:jc w:val="center"/>
        <w:rPr>
          <w:rFonts w:ascii="Times New Roman" w:hAnsi="Times New Roman" w:cs="Times New Roman"/>
          <w:i/>
        </w:rPr>
      </w:pPr>
      <w:proofErr w:type="gramStart"/>
      <w:r w:rsidRPr="004363CC">
        <w:rPr>
          <w:rFonts w:ascii="Times New Roman" w:hAnsi="Times New Roman" w:cs="Times New Roman"/>
          <w:i/>
        </w:rPr>
        <w:t>Передвижная выставка</w:t>
      </w:r>
      <w:proofErr w:type="gramEnd"/>
      <w:r w:rsidRPr="004363CC">
        <w:rPr>
          <w:rFonts w:ascii="Times New Roman" w:hAnsi="Times New Roman" w:cs="Times New Roman"/>
          <w:i/>
        </w:rPr>
        <w:t xml:space="preserve"> посвященная В. С. Высоцкому</w:t>
      </w:r>
    </w:p>
    <w:p w:rsidR="004363CC" w:rsidRPr="004363CC" w:rsidRDefault="004363CC" w:rsidP="00436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63CC" w:rsidRPr="004363CC" w:rsidRDefault="004363CC" w:rsidP="004363C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hAnsi="Times New Roman" w:cs="Times New Roman"/>
          <w:sz w:val="28"/>
          <w:szCs w:val="28"/>
        </w:rPr>
        <w:t xml:space="preserve">В 2016г основной фонд музея составил – 8054 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ед.хр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 xml:space="preserve">., научно-вспомогательный – 1669 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ед.хр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 xml:space="preserve">.    В фонды музея в основной фонд поступило 193 едины хранения: живопись, предметы быта, документы.  Состоялись передвижные выставки из фондов Сахалинского областного художественного музея, 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Поронайского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 xml:space="preserve">, Тымовского, 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Охинского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 xml:space="preserve"> краеведческих музеев. Сегодня краеведческий музей является   центром общественной и культурной жизни коренных малочисленных народов Севера. В здании музея работает библиотека, национальный коллектив «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Ари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>- ла -миф»</w:t>
      </w:r>
      <w:r w:rsidRPr="004363CC">
        <w:rPr>
          <w:rFonts w:ascii="Times New Roman" w:hAnsi="Times New Roman" w:cs="Times New Roman"/>
          <w:color w:val="000000"/>
          <w:sz w:val="28"/>
          <w:szCs w:val="28"/>
        </w:rPr>
        <w:t>, проводятся заседания клуб «</w:t>
      </w:r>
      <w:proofErr w:type="spellStart"/>
      <w:r w:rsidRPr="004363CC">
        <w:rPr>
          <w:rFonts w:ascii="Times New Roman" w:hAnsi="Times New Roman" w:cs="Times New Roman"/>
          <w:color w:val="000000"/>
          <w:sz w:val="28"/>
          <w:szCs w:val="28"/>
        </w:rPr>
        <w:t>Нивхинка</w:t>
      </w:r>
      <w:proofErr w:type="spellEnd"/>
      <w:r w:rsidRPr="004363CC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4363CC">
        <w:rPr>
          <w:rFonts w:ascii="Times New Roman" w:hAnsi="Times New Roman" w:cs="Times New Roman"/>
          <w:sz w:val="28"/>
          <w:szCs w:val="28"/>
        </w:rPr>
        <w:t xml:space="preserve">   Сотрудники музея приняли активное участие во Всероссийской акции «Ночь искусств в музее».       Мастера округа приняли участие в Χ1 Международной выставке-ярмарке «Сокровища Севера-2016» в г. Москве.  На ней были представлены работы мастеров декоративно-прикладного творчества Вероники Осиповой, Вадима 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Левкуна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 xml:space="preserve">, Елены </w:t>
      </w:r>
      <w:proofErr w:type="spellStart"/>
      <w:r w:rsidRPr="004363CC">
        <w:rPr>
          <w:rFonts w:ascii="Times New Roman" w:hAnsi="Times New Roman" w:cs="Times New Roman"/>
          <w:sz w:val="28"/>
          <w:szCs w:val="28"/>
        </w:rPr>
        <w:t>Бибиковой</w:t>
      </w:r>
      <w:proofErr w:type="spellEnd"/>
      <w:r w:rsidRPr="004363CC">
        <w:rPr>
          <w:rFonts w:ascii="Times New Roman" w:hAnsi="Times New Roman" w:cs="Times New Roman"/>
          <w:sz w:val="28"/>
          <w:szCs w:val="28"/>
        </w:rPr>
        <w:t>.</w:t>
      </w:r>
    </w:p>
    <w:p w:rsidR="00B64CAF" w:rsidRPr="004363CC" w:rsidRDefault="004363CC" w:rsidP="004363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3CC">
        <w:rPr>
          <w:rFonts w:ascii="Times New Roman" w:hAnsi="Times New Roman" w:cs="Times New Roman"/>
          <w:color w:val="000000"/>
          <w:sz w:val="28"/>
          <w:szCs w:val="28"/>
        </w:rPr>
        <w:t xml:space="preserve">      Состоялось торжественное открытие мемориальной доски на улице 15 мая, названной в честь освобождения Северного Сахалина от японской интервенции в 1925 году.</w:t>
      </w:r>
    </w:p>
    <w:p w:rsidR="004363CC" w:rsidRDefault="004363CC" w:rsidP="00CF2F86">
      <w:pPr>
        <w:pStyle w:val="ab"/>
        <w:spacing w:after="0"/>
        <w:jc w:val="both"/>
        <w:rPr>
          <w:sz w:val="28"/>
          <w:szCs w:val="28"/>
        </w:rPr>
      </w:pPr>
      <w:r w:rsidRPr="004363CC">
        <w:rPr>
          <w:sz w:val="28"/>
          <w:szCs w:val="28"/>
        </w:rPr>
        <w:t xml:space="preserve">    В МБОУДОД </w:t>
      </w:r>
      <w:r w:rsidRPr="004363CC">
        <w:rPr>
          <w:i/>
          <w:sz w:val="28"/>
          <w:szCs w:val="28"/>
        </w:rPr>
        <w:t>Детская школа искусств</w:t>
      </w:r>
      <w:r w:rsidRPr="004363CC">
        <w:rPr>
          <w:sz w:val="28"/>
          <w:szCs w:val="28"/>
        </w:rPr>
        <w:t xml:space="preserve"> на 01.01.2017 г. обучается 190 учащихся. Педагогическую деятельность осуществляют 12 преподавателей. Учащиеся школы принимали активное участие в международных, региональных, областных выставках, конкурсах, фестивалях где занимали призовые места.      С 01.09.2013 года в ДШИ реализуются две дополнительные предпрофессиональные общеобразовательные программы: дополнительная </w:t>
      </w:r>
      <w:r w:rsidRPr="004363CC">
        <w:rPr>
          <w:sz w:val="28"/>
          <w:szCs w:val="28"/>
        </w:rPr>
        <w:lastRenderedPageBreak/>
        <w:t xml:space="preserve">предпрофессиональная общеобразовательная программа в области декоративно-прикладного искусства «Декоративно-прикладное творчество» и дополнительная предпрофессиональная общеобразовательная программа в области музыкального искусства «Хоровое пение». </w:t>
      </w:r>
    </w:p>
    <w:p w:rsidR="004F7178" w:rsidRDefault="004363CC" w:rsidP="00CF2F86">
      <w:pPr>
        <w:pStyle w:val="ab"/>
        <w:spacing w:after="0"/>
        <w:jc w:val="both"/>
        <w:rPr>
          <w:sz w:val="28"/>
          <w:szCs w:val="28"/>
        </w:rPr>
      </w:pPr>
      <w:r w:rsidRPr="004363CC">
        <w:rPr>
          <w:sz w:val="28"/>
          <w:szCs w:val="28"/>
        </w:rPr>
        <w:t xml:space="preserve">           В муниципальном образовании «Городской округ Ногликский» функционируют семь </w:t>
      </w:r>
      <w:r w:rsidRPr="004363CC">
        <w:rPr>
          <w:i/>
          <w:sz w:val="28"/>
          <w:szCs w:val="28"/>
        </w:rPr>
        <w:t>библиотек</w:t>
      </w:r>
      <w:r w:rsidRPr="004363CC">
        <w:rPr>
          <w:sz w:val="28"/>
          <w:szCs w:val="28"/>
        </w:rPr>
        <w:t xml:space="preserve">: Ногликская районная модельная центральная библиотека им. В. М. </w:t>
      </w:r>
      <w:proofErr w:type="spellStart"/>
      <w:r w:rsidRPr="004363CC">
        <w:rPr>
          <w:sz w:val="28"/>
          <w:szCs w:val="28"/>
        </w:rPr>
        <w:t>Санги</w:t>
      </w:r>
      <w:proofErr w:type="spellEnd"/>
      <w:r w:rsidRPr="004363CC">
        <w:rPr>
          <w:sz w:val="28"/>
          <w:szCs w:val="28"/>
        </w:rPr>
        <w:t xml:space="preserve">, центральная детская библиотека и пять филиалов, из них два филиала городских и три сельских. Открыто 20 пунктов </w:t>
      </w:r>
      <w:proofErr w:type="spellStart"/>
      <w:r w:rsidRPr="004363CC">
        <w:rPr>
          <w:sz w:val="28"/>
          <w:szCs w:val="28"/>
        </w:rPr>
        <w:t>внестационарного</w:t>
      </w:r>
      <w:proofErr w:type="spellEnd"/>
      <w:r w:rsidRPr="004363CC">
        <w:rPr>
          <w:sz w:val="28"/>
          <w:szCs w:val="28"/>
        </w:rPr>
        <w:t xml:space="preserve"> обслуживания, из них 8 в учреждениях и 12 для людей с ограниченными возможностями. Все библиотеки находятся в 15-минутной доступности. Все населенные пункты имеют возможность доступа к библиотечным услугам. </w:t>
      </w:r>
    </w:p>
    <w:p w:rsidR="004F7178" w:rsidRPr="004363CC" w:rsidRDefault="004F7178" w:rsidP="004363CC">
      <w:pPr>
        <w:pStyle w:val="ab"/>
        <w:spacing w:after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67A54F6" wp14:editId="7BFA18FB">
            <wp:extent cx="5427980" cy="4019550"/>
            <wp:effectExtent l="0" t="0" r="127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373" cy="40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178" w:rsidRPr="004F7178" w:rsidRDefault="004F7178" w:rsidP="004F7178">
      <w:pPr>
        <w:pStyle w:val="a9"/>
        <w:spacing w:after="0" w:afterAutospacing="0"/>
        <w:ind w:firstLine="708"/>
        <w:jc w:val="center"/>
        <w:rPr>
          <w:i/>
        </w:rPr>
      </w:pPr>
      <w:proofErr w:type="spellStart"/>
      <w:r w:rsidRPr="004F7178">
        <w:rPr>
          <w:i/>
        </w:rPr>
        <w:t>Библионочь</w:t>
      </w:r>
      <w:proofErr w:type="spellEnd"/>
    </w:p>
    <w:p w:rsidR="004F7178" w:rsidRDefault="004363CC" w:rsidP="004363CC">
      <w:pPr>
        <w:pStyle w:val="a9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4363CC">
        <w:rPr>
          <w:sz w:val="28"/>
          <w:szCs w:val="28"/>
        </w:rPr>
        <w:t xml:space="preserve">В 2016 году в рамках муниципальной программы «Развитие культуры в муниципальном образовании «Городской округ Ногликский» на 2015–2020 </w:t>
      </w:r>
      <w:r w:rsidR="004F7178" w:rsidRPr="004363CC">
        <w:rPr>
          <w:sz w:val="28"/>
          <w:szCs w:val="28"/>
        </w:rPr>
        <w:t>годы» комплектование</w:t>
      </w:r>
      <w:r w:rsidRPr="004363CC">
        <w:rPr>
          <w:sz w:val="28"/>
          <w:szCs w:val="28"/>
        </w:rPr>
        <w:t xml:space="preserve"> документных фондов библиотеки, филиалов составило 7 367   </w:t>
      </w:r>
      <w:r w:rsidR="004F7178" w:rsidRPr="004363CC">
        <w:rPr>
          <w:sz w:val="28"/>
          <w:szCs w:val="28"/>
        </w:rPr>
        <w:t>экземпляров на</w:t>
      </w:r>
      <w:r w:rsidR="004F7178">
        <w:rPr>
          <w:sz w:val="28"/>
          <w:szCs w:val="28"/>
        </w:rPr>
        <w:t xml:space="preserve"> </w:t>
      </w:r>
      <w:proofErr w:type="gramStart"/>
      <w:r w:rsidR="004F7178">
        <w:rPr>
          <w:sz w:val="28"/>
          <w:szCs w:val="28"/>
        </w:rPr>
        <w:t>сумму  2</w:t>
      </w:r>
      <w:proofErr w:type="gramEnd"/>
      <w:r w:rsidR="004F7178">
        <w:rPr>
          <w:sz w:val="28"/>
          <w:szCs w:val="28"/>
        </w:rPr>
        <w:t>,09 млн. рублей</w:t>
      </w:r>
      <w:r w:rsidRPr="004363CC">
        <w:rPr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2015 г"/>
        </w:smartTagPr>
        <w:r w:rsidRPr="004363CC">
          <w:rPr>
            <w:sz w:val="28"/>
            <w:szCs w:val="28"/>
          </w:rPr>
          <w:t>2015 г</w:t>
        </w:r>
      </w:smartTag>
      <w:r w:rsidRPr="004363CC">
        <w:rPr>
          <w:sz w:val="28"/>
          <w:szCs w:val="28"/>
        </w:rPr>
        <w:t>. — 1</w:t>
      </w:r>
      <w:r w:rsidR="004F7178">
        <w:rPr>
          <w:sz w:val="28"/>
          <w:szCs w:val="28"/>
        </w:rPr>
        <w:t>,8</w:t>
      </w:r>
      <w:r w:rsidRPr="004363CC">
        <w:rPr>
          <w:sz w:val="28"/>
          <w:szCs w:val="28"/>
        </w:rPr>
        <w:t xml:space="preserve"> млн. руб.). Приобретена литература по отраслям знаний, художественная, справочная, литература для детей и молодежи. Процент поступления новой литературы от общего </w:t>
      </w:r>
      <w:proofErr w:type="gramStart"/>
      <w:r w:rsidRPr="004363CC">
        <w:rPr>
          <w:sz w:val="28"/>
          <w:szCs w:val="28"/>
        </w:rPr>
        <w:t>фонда  составил</w:t>
      </w:r>
      <w:proofErr w:type="gramEnd"/>
      <w:r w:rsidRPr="004363CC">
        <w:rPr>
          <w:sz w:val="28"/>
          <w:szCs w:val="28"/>
        </w:rPr>
        <w:t xml:space="preserve"> 6,5% ,количество документов на 1 жителя района — 10,3 экз., на 1 читателя — 14 экз. </w:t>
      </w:r>
      <w:r w:rsidRPr="004363CC">
        <w:rPr>
          <w:color w:val="000000"/>
          <w:sz w:val="28"/>
          <w:szCs w:val="28"/>
        </w:rPr>
        <w:t>Пользователями библиотеки являются 20</w:t>
      </w:r>
      <w:r w:rsidR="004F7178">
        <w:rPr>
          <w:color w:val="000000"/>
          <w:sz w:val="28"/>
          <w:szCs w:val="28"/>
        </w:rPr>
        <w:t>,</w:t>
      </w:r>
      <w:r w:rsidRPr="004363CC">
        <w:rPr>
          <w:color w:val="000000"/>
          <w:sz w:val="28"/>
          <w:szCs w:val="28"/>
        </w:rPr>
        <w:t>8</w:t>
      </w:r>
      <w:r w:rsidR="004F7178">
        <w:rPr>
          <w:color w:val="000000"/>
          <w:sz w:val="28"/>
          <w:szCs w:val="28"/>
        </w:rPr>
        <w:t xml:space="preserve"> тыс.</w:t>
      </w:r>
      <w:r w:rsidRPr="004363CC">
        <w:rPr>
          <w:color w:val="000000"/>
          <w:sz w:val="28"/>
          <w:szCs w:val="28"/>
        </w:rPr>
        <w:t xml:space="preserve"> человека,</w:t>
      </w:r>
      <w:r w:rsidRPr="004363CC">
        <w:rPr>
          <w:sz w:val="28"/>
          <w:szCs w:val="28"/>
        </w:rPr>
        <w:t xml:space="preserve">  что составляет 73,5%,</w:t>
      </w:r>
      <w:r w:rsidRPr="004363CC">
        <w:rPr>
          <w:color w:val="000000"/>
          <w:sz w:val="28"/>
          <w:szCs w:val="28"/>
        </w:rPr>
        <w:t xml:space="preserve">  из них стационарные пользователи библиотеки 8</w:t>
      </w:r>
      <w:r w:rsidR="004F7178">
        <w:rPr>
          <w:color w:val="000000"/>
          <w:sz w:val="28"/>
          <w:szCs w:val="28"/>
        </w:rPr>
        <w:t>,</w:t>
      </w:r>
      <w:r w:rsidRPr="004363CC">
        <w:rPr>
          <w:color w:val="000000"/>
          <w:sz w:val="28"/>
          <w:szCs w:val="28"/>
        </w:rPr>
        <w:t>3</w:t>
      </w:r>
      <w:r w:rsidR="004F7178">
        <w:rPr>
          <w:color w:val="000000"/>
          <w:sz w:val="28"/>
          <w:szCs w:val="28"/>
        </w:rPr>
        <w:t xml:space="preserve"> тыс.</w:t>
      </w:r>
      <w:r w:rsidRPr="004363CC">
        <w:rPr>
          <w:color w:val="000000"/>
          <w:sz w:val="28"/>
          <w:szCs w:val="28"/>
        </w:rPr>
        <w:t xml:space="preserve"> человек, 12</w:t>
      </w:r>
      <w:r w:rsidR="004F7178">
        <w:rPr>
          <w:color w:val="000000"/>
          <w:sz w:val="28"/>
          <w:szCs w:val="28"/>
        </w:rPr>
        <w:t>,5тыс. чел.</w:t>
      </w:r>
      <w:r w:rsidRPr="004363CC">
        <w:rPr>
          <w:color w:val="000000"/>
          <w:sz w:val="28"/>
          <w:szCs w:val="28"/>
        </w:rPr>
        <w:t xml:space="preserve"> — удаленные пользователи. </w:t>
      </w:r>
    </w:p>
    <w:p w:rsidR="004363CC" w:rsidRPr="004363CC" w:rsidRDefault="004F7178" w:rsidP="004363CC">
      <w:pPr>
        <w:pStyle w:val="a9"/>
        <w:spacing w:after="0" w:afterAutospacing="0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4363CC" w:rsidRPr="004363CC">
        <w:rPr>
          <w:sz w:val="28"/>
          <w:szCs w:val="28"/>
        </w:rPr>
        <w:t xml:space="preserve">Сотрудники библиотеки принимали участие </w:t>
      </w:r>
      <w:r w:rsidR="00CF2F86" w:rsidRPr="004363CC">
        <w:rPr>
          <w:sz w:val="28"/>
          <w:szCs w:val="28"/>
        </w:rPr>
        <w:t>в X</w:t>
      </w:r>
      <w:r w:rsidR="004363CC" w:rsidRPr="004363CC">
        <w:rPr>
          <w:sz w:val="28"/>
          <w:szCs w:val="28"/>
        </w:rPr>
        <w:t xml:space="preserve"> Межрегиональной научно-практической конференции - «Развитие библиотечно-информационного пространства на Дальнем Востоке и высшее библиотечное образование» в г. </w:t>
      </w:r>
      <w:proofErr w:type="gramStart"/>
      <w:r w:rsidR="004363CC" w:rsidRPr="004363CC">
        <w:rPr>
          <w:sz w:val="28"/>
          <w:szCs w:val="28"/>
        </w:rPr>
        <w:t>Владивостоке,  в</w:t>
      </w:r>
      <w:proofErr w:type="gramEnd"/>
      <w:r w:rsidR="004363CC" w:rsidRPr="004363CC">
        <w:rPr>
          <w:sz w:val="28"/>
          <w:szCs w:val="28"/>
        </w:rPr>
        <w:t xml:space="preserve"> форуме молодых библиотекарей России «Молодой библиотекарь - профессиональн</w:t>
      </w:r>
      <w:r w:rsidR="00CF2F86">
        <w:rPr>
          <w:sz w:val="28"/>
          <w:szCs w:val="28"/>
        </w:rPr>
        <w:t xml:space="preserve">ый читатель» в г. Екатеринбурге, </w:t>
      </w:r>
      <w:r w:rsidR="004363CC" w:rsidRPr="004363CC">
        <w:rPr>
          <w:color w:val="000000"/>
          <w:sz w:val="28"/>
          <w:szCs w:val="28"/>
        </w:rPr>
        <w:t>в работе Российской Библиотечной Асс</w:t>
      </w:r>
      <w:r w:rsidR="00CF2F86">
        <w:rPr>
          <w:color w:val="000000"/>
          <w:sz w:val="28"/>
          <w:szCs w:val="28"/>
        </w:rPr>
        <w:t>оциации (РБА) в г. Калининграде</w:t>
      </w:r>
      <w:r w:rsidR="004363CC" w:rsidRPr="004363C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4363CC" w:rsidRPr="004363CC">
        <w:rPr>
          <w:color w:val="000000"/>
          <w:sz w:val="28"/>
          <w:szCs w:val="28"/>
        </w:rPr>
        <w:t xml:space="preserve">В 2016 году были реализованы 3 </w:t>
      </w:r>
      <w:proofErr w:type="spellStart"/>
      <w:r>
        <w:rPr>
          <w:color w:val="000000"/>
          <w:sz w:val="28"/>
          <w:szCs w:val="28"/>
        </w:rPr>
        <w:t>гра</w:t>
      </w:r>
      <w:r w:rsidRPr="004363CC">
        <w:rPr>
          <w:color w:val="000000"/>
          <w:sz w:val="28"/>
          <w:szCs w:val="28"/>
        </w:rPr>
        <w:t>нтовых</w:t>
      </w:r>
      <w:proofErr w:type="spellEnd"/>
      <w:r w:rsidR="004363CC" w:rsidRPr="004363CC">
        <w:rPr>
          <w:color w:val="000000"/>
          <w:sz w:val="28"/>
          <w:szCs w:val="28"/>
        </w:rPr>
        <w:t xml:space="preserve"> проекта, направленные на сохранение культуры и языков </w:t>
      </w:r>
      <w:r w:rsidR="00377CE0" w:rsidRPr="004363CC">
        <w:rPr>
          <w:color w:val="000000"/>
          <w:sz w:val="28"/>
          <w:szCs w:val="28"/>
        </w:rPr>
        <w:t>коренных малочисленных</w:t>
      </w:r>
      <w:r w:rsidR="004363CC" w:rsidRPr="004363CC">
        <w:rPr>
          <w:color w:val="000000"/>
          <w:sz w:val="28"/>
          <w:szCs w:val="28"/>
        </w:rPr>
        <w:t xml:space="preserve"> народов Севера Сахалинской области</w:t>
      </w:r>
      <w:r w:rsidR="00377CE0">
        <w:rPr>
          <w:color w:val="000000"/>
          <w:sz w:val="28"/>
          <w:szCs w:val="28"/>
        </w:rPr>
        <w:t>.</w:t>
      </w:r>
      <w:r w:rsidR="004363CC" w:rsidRPr="004363CC">
        <w:rPr>
          <w:color w:val="000000"/>
          <w:sz w:val="28"/>
          <w:szCs w:val="28"/>
        </w:rPr>
        <w:t xml:space="preserve"> Работники библиотеки приняли участие в Дальневосточной выставке «Печатный </w:t>
      </w:r>
      <w:r w:rsidRPr="004363CC">
        <w:rPr>
          <w:color w:val="000000"/>
          <w:sz w:val="28"/>
          <w:szCs w:val="28"/>
        </w:rPr>
        <w:t>Двор» в</w:t>
      </w:r>
      <w:r w:rsidR="004363CC" w:rsidRPr="004363CC">
        <w:rPr>
          <w:color w:val="000000"/>
          <w:sz w:val="28"/>
          <w:szCs w:val="28"/>
        </w:rPr>
        <w:t xml:space="preserve"> г. Владивостоке. На конкурс б</w:t>
      </w:r>
      <w:r>
        <w:rPr>
          <w:color w:val="000000"/>
          <w:sz w:val="28"/>
          <w:szCs w:val="28"/>
        </w:rPr>
        <w:t xml:space="preserve">ыло представлено более 250 книг. </w:t>
      </w:r>
      <w:r w:rsidR="004363CC" w:rsidRPr="004363CC">
        <w:rPr>
          <w:color w:val="000000"/>
          <w:sz w:val="28"/>
          <w:szCs w:val="28"/>
        </w:rPr>
        <w:t xml:space="preserve">Ногликская районная центральная библиотека была удостоена серебряной медали в конкурсе «Лучшее краеведческое </w:t>
      </w:r>
      <w:r w:rsidRPr="004363CC">
        <w:rPr>
          <w:color w:val="000000"/>
          <w:sz w:val="28"/>
          <w:szCs w:val="28"/>
        </w:rPr>
        <w:t>издание» -</w:t>
      </w:r>
      <w:r w:rsidR="004363CC" w:rsidRPr="004363CC">
        <w:rPr>
          <w:color w:val="000000"/>
          <w:sz w:val="28"/>
          <w:szCs w:val="28"/>
        </w:rPr>
        <w:t xml:space="preserve">  номинация «Тематические краеведческие издания». </w:t>
      </w:r>
      <w:r w:rsidR="004363CC" w:rsidRPr="004363CC">
        <w:rPr>
          <w:sz w:val="28"/>
          <w:szCs w:val="28"/>
        </w:rPr>
        <w:t xml:space="preserve">В 2016 году проводилась работа над созданием базы данных по краеведческой литературе: было оцифровано 6 567 номеров Ногликской газеты «Знамя труда» </w:t>
      </w:r>
      <w:r w:rsidRPr="004363CC">
        <w:rPr>
          <w:sz w:val="28"/>
          <w:szCs w:val="28"/>
        </w:rPr>
        <w:t>и 103</w:t>
      </w:r>
      <w:r w:rsidR="004363CC" w:rsidRPr="004363CC">
        <w:rPr>
          <w:sz w:val="28"/>
          <w:szCs w:val="28"/>
        </w:rPr>
        <w:t xml:space="preserve"> номера газеты «Сталинский путь» 1971 года издания.                                           </w:t>
      </w:r>
    </w:p>
    <w:p w:rsidR="004363CC" w:rsidRPr="004F7178" w:rsidRDefault="004363CC" w:rsidP="004363CC">
      <w:pPr>
        <w:jc w:val="both"/>
        <w:rPr>
          <w:rFonts w:ascii="Times New Roman" w:hAnsi="Times New Roman" w:cs="Times New Roman"/>
          <w:sz w:val="28"/>
          <w:szCs w:val="28"/>
        </w:rPr>
      </w:pPr>
      <w:r w:rsidRPr="004F7178">
        <w:rPr>
          <w:rFonts w:ascii="Times New Roman" w:hAnsi="Times New Roman" w:cs="Times New Roman"/>
          <w:sz w:val="28"/>
          <w:szCs w:val="28"/>
        </w:rPr>
        <w:t xml:space="preserve">             Сотрудник библиотеки Красильникова </w:t>
      </w:r>
      <w:r w:rsidR="004F7178" w:rsidRPr="004F7178">
        <w:rPr>
          <w:rFonts w:ascii="Times New Roman" w:hAnsi="Times New Roman" w:cs="Times New Roman"/>
          <w:sz w:val="28"/>
          <w:szCs w:val="28"/>
        </w:rPr>
        <w:t>И. В.</w:t>
      </w:r>
      <w:r w:rsidRPr="004F7178">
        <w:rPr>
          <w:rFonts w:ascii="Times New Roman" w:hAnsi="Times New Roman" w:cs="Times New Roman"/>
          <w:sz w:val="28"/>
          <w:szCs w:val="28"/>
        </w:rPr>
        <w:t xml:space="preserve">  стала «Лучшим библиотекарем Сахалинской области 2016 года», </w:t>
      </w:r>
      <w:r w:rsidR="004F7178" w:rsidRPr="004F7178">
        <w:rPr>
          <w:rFonts w:ascii="Times New Roman" w:hAnsi="Times New Roman" w:cs="Times New Roman"/>
          <w:sz w:val="28"/>
          <w:szCs w:val="28"/>
        </w:rPr>
        <w:t>финалистом Всероссийского</w:t>
      </w:r>
      <w:r w:rsidRPr="004F7178">
        <w:rPr>
          <w:rFonts w:ascii="Times New Roman" w:hAnsi="Times New Roman" w:cs="Times New Roman"/>
          <w:sz w:val="28"/>
          <w:szCs w:val="28"/>
        </w:rPr>
        <w:t xml:space="preserve"> конкурса «Лучший библиотекарь 2016», получила премию Губернатора Сахалинской области в размере 100 тыс. рублей за реализацию проекта </w:t>
      </w:r>
      <w:r w:rsidR="004F7178" w:rsidRPr="004F7178">
        <w:rPr>
          <w:rFonts w:ascii="Times New Roman" w:hAnsi="Times New Roman" w:cs="Times New Roman"/>
          <w:sz w:val="28"/>
          <w:szCs w:val="28"/>
        </w:rPr>
        <w:t>«И</w:t>
      </w:r>
      <w:r w:rsidRPr="004F7178">
        <w:rPr>
          <w:rFonts w:ascii="Times New Roman" w:hAnsi="Times New Roman" w:cs="Times New Roman"/>
          <w:sz w:val="28"/>
          <w:szCs w:val="28"/>
        </w:rPr>
        <w:t xml:space="preserve"> вновь услышать свой язык». Директор </w:t>
      </w:r>
      <w:r w:rsidRPr="004F7178">
        <w:rPr>
          <w:rFonts w:ascii="Times New Roman" w:hAnsi="Times New Roman" w:cs="Times New Roman"/>
          <w:color w:val="000000"/>
          <w:sz w:val="28"/>
          <w:szCs w:val="28"/>
        </w:rPr>
        <w:t>МБУК НРЦБ</w:t>
      </w:r>
      <w:r w:rsidRPr="004F7178">
        <w:rPr>
          <w:rFonts w:ascii="Times New Roman" w:hAnsi="Times New Roman" w:cs="Times New Roman"/>
          <w:sz w:val="28"/>
          <w:szCs w:val="28"/>
        </w:rPr>
        <w:t xml:space="preserve"> Рожнова О</w:t>
      </w:r>
      <w:r w:rsidR="004F7178" w:rsidRPr="004F7178">
        <w:rPr>
          <w:rFonts w:ascii="Times New Roman" w:hAnsi="Times New Roman" w:cs="Times New Roman"/>
          <w:sz w:val="28"/>
          <w:szCs w:val="28"/>
        </w:rPr>
        <w:t xml:space="preserve">.Е. </w:t>
      </w:r>
      <w:r w:rsidRPr="004F7178">
        <w:rPr>
          <w:rFonts w:ascii="Times New Roman" w:hAnsi="Times New Roman" w:cs="Times New Roman"/>
          <w:sz w:val="28"/>
          <w:szCs w:val="28"/>
        </w:rPr>
        <w:t xml:space="preserve"> получила Золотую медаль «Василий Шукшин», юбилейную медаль «25-летие Совету военнослужащих и их родителей». </w:t>
      </w:r>
    </w:p>
    <w:p w:rsidR="004F7178" w:rsidRPr="00377CE0" w:rsidRDefault="004F7178" w:rsidP="004F7178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377CE0">
        <w:rPr>
          <w:rFonts w:ascii="Times New Roman" w:hAnsi="Times New Roman"/>
          <w:b/>
          <w:i/>
          <w:sz w:val="28"/>
          <w:szCs w:val="28"/>
        </w:rPr>
        <w:t>Здравоохранение</w:t>
      </w:r>
    </w:p>
    <w:p w:rsidR="004679EE" w:rsidRDefault="004F7178" w:rsidP="004F717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1988">
        <w:rPr>
          <w:rFonts w:ascii="Times New Roman" w:hAnsi="Times New Roman"/>
          <w:sz w:val="28"/>
          <w:szCs w:val="28"/>
        </w:rPr>
        <w:tab/>
      </w:r>
    </w:p>
    <w:p w:rsidR="004F7178" w:rsidRDefault="004F7178" w:rsidP="004F717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61988">
        <w:rPr>
          <w:rFonts w:ascii="Times New Roman" w:hAnsi="Times New Roman"/>
          <w:sz w:val="28"/>
          <w:szCs w:val="28"/>
        </w:rPr>
        <w:t>В системе государственного здравоохранения проводились мероприятия по модернизации сферы, оптимизации расходов. Стационарная помощь населен</w:t>
      </w:r>
      <w:r>
        <w:rPr>
          <w:rFonts w:ascii="Times New Roman" w:hAnsi="Times New Roman"/>
          <w:sz w:val="28"/>
          <w:szCs w:val="28"/>
        </w:rPr>
        <w:t>ию оказывается на 83</w:t>
      </w:r>
      <w:r w:rsidRPr="00161988">
        <w:rPr>
          <w:rFonts w:ascii="Times New Roman" w:hAnsi="Times New Roman"/>
          <w:sz w:val="28"/>
          <w:szCs w:val="28"/>
        </w:rPr>
        <w:t xml:space="preserve"> койках</w:t>
      </w:r>
      <w:r>
        <w:rPr>
          <w:rFonts w:ascii="Times New Roman" w:hAnsi="Times New Roman"/>
          <w:sz w:val="28"/>
          <w:szCs w:val="28"/>
        </w:rPr>
        <w:t xml:space="preserve"> круглосуточного пребывания и на 14 койках дневного стационара. За год было сокращено 3 койки.</w:t>
      </w:r>
    </w:p>
    <w:p w:rsidR="004F7178" w:rsidRPr="00C751D7" w:rsidRDefault="004F7178" w:rsidP="004F717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61988">
        <w:rPr>
          <w:rFonts w:ascii="Times New Roman" w:hAnsi="Times New Roman"/>
          <w:sz w:val="28"/>
          <w:szCs w:val="28"/>
        </w:rPr>
        <w:t xml:space="preserve"> </w:t>
      </w:r>
      <w:r w:rsidRPr="00C751D7">
        <w:rPr>
          <w:rFonts w:ascii="Times New Roman" w:hAnsi="Times New Roman"/>
          <w:sz w:val="28"/>
          <w:szCs w:val="28"/>
        </w:rPr>
        <w:t>Обеспеченность койками круглосуточного пребывания составляет 73,3 на 10 тыс. населения, вместо 75,2 в 2015 г. При этом выполнение плана по койко-дням составило 105,7% (в 2015 – 99,2%).</w:t>
      </w:r>
    </w:p>
    <w:p w:rsidR="004F7178" w:rsidRPr="00C77685" w:rsidRDefault="004F7178" w:rsidP="004F717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77685">
        <w:rPr>
          <w:rFonts w:ascii="Times New Roman" w:hAnsi="Times New Roman"/>
          <w:sz w:val="28"/>
          <w:szCs w:val="28"/>
        </w:rPr>
        <w:t xml:space="preserve">Значимым событием стало введение в эксплуатацию здания инфекционного отделения. </w:t>
      </w:r>
    </w:p>
    <w:p w:rsidR="00377CE0" w:rsidRDefault="00377CE0" w:rsidP="004F7178">
      <w:pPr>
        <w:pStyle w:val="ab"/>
        <w:ind w:firstLine="708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94B91" wp14:editId="7A7361BB">
            <wp:extent cx="4410075" cy="4467225"/>
            <wp:effectExtent l="0" t="0" r="9525" b="9525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010" cy="448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E0" w:rsidRPr="00377CE0" w:rsidRDefault="00377CE0" w:rsidP="00377CE0">
      <w:pPr>
        <w:pStyle w:val="ab"/>
        <w:ind w:firstLine="708"/>
        <w:jc w:val="center"/>
        <w:rPr>
          <w:i/>
        </w:rPr>
      </w:pPr>
      <w:r>
        <w:rPr>
          <w:i/>
        </w:rPr>
        <w:t>Открытие инфекционного отделения</w:t>
      </w:r>
    </w:p>
    <w:p w:rsidR="004F7178" w:rsidRPr="00C751D7" w:rsidRDefault="004F7178" w:rsidP="00701024">
      <w:pPr>
        <w:pStyle w:val="ab"/>
        <w:spacing w:after="0"/>
        <w:ind w:firstLine="708"/>
        <w:rPr>
          <w:sz w:val="28"/>
          <w:szCs w:val="28"/>
        </w:rPr>
      </w:pPr>
      <w:r w:rsidRPr="00C751D7">
        <w:rPr>
          <w:sz w:val="28"/>
          <w:szCs w:val="28"/>
        </w:rPr>
        <w:t>Количество посещений в поликлинике составило 124,5 тысячи, что прочти на 1% больше   чем в 2015 году.</w:t>
      </w:r>
      <w:r>
        <w:rPr>
          <w:sz w:val="28"/>
          <w:szCs w:val="28"/>
        </w:rPr>
        <w:t xml:space="preserve"> В 2016 году дополнительной диспансеризацией определенных групп взрослого населения было охвачено 1850 человек, что соответствовало плановым показателям.</w:t>
      </w:r>
    </w:p>
    <w:p w:rsidR="004F7178" w:rsidRPr="00DD59F4" w:rsidRDefault="004F7178" w:rsidP="0070102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96263">
        <w:rPr>
          <w:rFonts w:ascii="Times New Roman" w:hAnsi="Times New Roman"/>
          <w:sz w:val="28"/>
          <w:szCs w:val="28"/>
        </w:rPr>
        <w:t>Показатель общей заболеваемости по сравнению с прошлым периодом снизился на 0,5 % и составляет 1,58 тыс. случаев на 1 тыс. чел.</w:t>
      </w:r>
    </w:p>
    <w:p w:rsidR="004F7178" w:rsidRPr="00C77685" w:rsidRDefault="004F7178" w:rsidP="004F717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D59F4">
        <w:rPr>
          <w:rFonts w:ascii="Times New Roman" w:hAnsi="Times New Roman"/>
          <w:sz w:val="28"/>
          <w:szCs w:val="28"/>
        </w:rPr>
        <w:t>Укомплектованность ка</w:t>
      </w:r>
      <w:r>
        <w:rPr>
          <w:rFonts w:ascii="Times New Roman" w:hAnsi="Times New Roman"/>
          <w:sz w:val="28"/>
          <w:szCs w:val="28"/>
        </w:rPr>
        <w:t>драми составляет: по врачам 74,5</w:t>
      </w:r>
      <w:r w:rsidRPr="00DD59F4">
        <w:rPr>
          <w:rFonts w:ascii="Times New Roman" w:hAnsi="Times New Roman"/>
          <w:sz w:val="28"/>
          <w:szCs w:val="28"/>
        </w:rPr>
        <w:t>%, по сред</w:t>
      </w:r>
      <w:r>
        <w:rPr>
          <w:rFonts w:ascii="Times New Roman" w:hAnsi="Times New Roman"/>
          <w:sz w:val="28"/>
          <w:szCs w:val="28"/>
        </w:rPr>
        <w:t>нему медицинскому персоналу –81,8 %</w:t>
      </w:r>
      <w:r w:rsidRPr="00DD59F4">
        <w:rPr>
          <w:rFonts w:ascii="Times New Roman" w:hAnsi="Times New Roman"/>
          <w:sz w:val="28"/>
          <w:szCs w:val="28"/>
        </w:rPr>
        <w:t xml:space="preserve">, коэффициент совместительства – 1,3 и 1,2 соответственно. В течение года по приглашению ЦРБ </w:t>
      </w:r>
      <w:r>
        <w:rPr>
          <w:rFonts w:ascii="Times New Roman" w:hAnsi="Times New Roman"/>
          <w:sz w:val="28"/>
          <w:szCs w:val="28"/>
        </w:rPr>
        <w:t xml:space="preserve">прибыл 1 врач и 2 </w:t>
      </w:r>
      <w:r w:rsidRPr="00DD59F4">
        <w:rPr>
          <w:rFonts w:ascii="Times New Roman" w:hAnsi="Times New Roman"/>
          <w:sz w:val="28"/>
          <w:szCs w:val="28"/>
        </w:rPr>
        <w:t>- через министерство здравоохранения в рамках программы «Кадровое обеспечение», но дефицит</w:t>
      </w:r>
      <w:r>
        <w:rPr>
          <w:rFonts w:ascii="Times New Roman" w:hAnsi="Times New Roman"/>
          <w:sz w:val="28"/>
          <w:szCs w:val="28"/>
        </w:rPr>
        <w:t xml:space="preserve"> врачебных кадров еще имеется (3</w:t>
      </w:r>
      <w:r w:rsidRPr="00DD59F4">
        <w:rPr>
          <w:rFonts w:ascii="Times New Roman" w:hAnsi="Times New Roman"/>
          <w:sz w:val="28"/>
          <w:szCs w:val="28"/>
        </w:rPr>
        <w:t xml:space="preserve"> специалиста).</w:t>
      </w:r>
      <w:r>
        <w:rPr>
          <w:rFonts w:ascii="Times New Roman" w:hAnsi="Times New Roman"/>
          <w:sz w:val="28"/>
          <w:szCs w:val="28"/>
        </w:rPr>
        <w:t xml:space="preserve"> Кроме этого, в рамках «Кадрового обеспечения» прибыло 2 специалиста среднего медицинского звена. </w:t>
      </w:r>
      <w:r w:rsidRPr="00DD59F4">
        <w:rPr>
          <w:rFonts w:ascii="Times New Roman" w:hAnsi="Times New Roman"/>
          <w:sz w:val="28"/>
          <w:szCs w:val="28"/>
        </w:rPr>
        <w:t xml:space="preserve"> </w:t>
      </w:r>
      <w:r w:rsidRPr="00C77685">
        <w:rPr>
          <w:rFonts w:ascii="Times New Roman" w:hAnsi="Times New Roman"/>
          <w:sz w:val="28"/>
          <w:szCs w:val="28"/>
        </w:rPr>
        <w:t>Для улучшения кадровой ситуации необходимо предоставление жилья для привлечения специалистов из других регионов РФ. Хотя 2016 году служебное жилье было выделено 2 врачам и 2 специалистам предоставлено общежитие, жилье ещё нуждаются 2 врача-специалиста и 2 врача в улучшении жилищных условий, а также 10 средних медицинских работников</w:t>
      </w:r>
    </w:p>
    <w:p w:rsidR="00B64CAF" w:rsidRDefault="00B64CAF" w:rsidP="00B64CAF">
      <w:pPr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1024" w:rsidRDefault="00701024" w:rsidP="00B64CAF">
      <w:pPr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77CE0" w:rsidRDefault="00377CE0" w:rsidP="00B64CAF">
      <w:pPr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77CE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Физическая культура и спорт</w:t>
      </w:r>
    </w:p>
    <w:p w:rsidR="004679EE" w:rsidRDefault="004679EE" w:rsidP="0070102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01024" w:rsidRPr="000326BF" w:rsidRDefault="00701024" w:rsidP="0070102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В рамках муниципальной программы «Развитие физической культуры, спорта и молодежной политики» на финансирование мероприятий и укрепление материально технической базы спортивных учреждений было освоено более </w:t>
      </w:r>
      <w:r>
        <w:rPr>
          <w:rFonts w:ascii="Times New Roman" w:hAnsi="Times New Roman"/>
          <w:sz w:val="28"/>
          <w:szCs w:val="28"/>
        </w:rPr>
        <w:t>85 млн. руб.  (в 2015 - 39 млн. руб.).</w:t>
      </w:r>
    </w:p>
    <w:p w:rsidR="00701024" w:rsidRDefault="00701024" w:rsidP="0070102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За год было проведено </w:t>
      </w:r>
      <w:r>
        <w:rPr>
          <w:rFonts w:ascii="Times New Roman" w:hAnsi="Times New Roman"/>
          <w:sz w:val="28"/>
          <w:szCs w:val="28"/>
        </w:rPr>
        <w:t>140 (в 2015 г -</w:t>
      </w:r>
      <w:r w:rsidRPr="000326BF">
        <w:rPr>
          <w:rFonts w:ascii="Times New Roman" w:hAnsi="Times New Roman"/>
          <w:sz w:val="28"/>
          <w:szCs w:val="28"/>
        </w:rPr>
        <w:t>123</w:t>
      </w:r>
      <w:r>
        <w:rPr>
          <w:rFonts w:ascii="Times New Roman" w:hAnsi="Times New Roman"/>
          <w:sz w:val="28"/>
          <w:szCs w:val="28"/>
        </w:rPr>
        <w:t>)</w:t>
      </w:r>
      <w:r w:rsidRPr="000326BF">
        <w:rPr>
          <w:rFonts w:ascii="Times New Roman" w:hAnsi="Times New Roman"/>
          <w:sz w:val="28"/>
          <w:szCs w:val="28"/>
        </w:rPr>
        <w:t xml:space="preserve"> мероприятия спортивного, оздоровительного и массового характера</w:t>
      </w:r>
      <w:r>
        <w:rPr>
          <w:rFonts w:ascii="Times New Roman" w:hAnsi="Times New Roman"/>
          <w:sz w:val="28"/>
          <w:szCs w:val="28"/>
        </w:rPr>
        <w:t xml:space="preserve"> в которых участвовало более 4 тыс. человек.</w:t>
      </w:r>
      <w:r>
        <w:rPr>
          <w:rFonts w:ascii="Times New Roman" w:hAnsi="Times New Roman"/>
          <w:sz w:val="28"/>
          <w:szCs w:val="28"/>
        </w:rPr>
        <w:t xml:space="preserve"> Это такие крупные соревнования как: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«Лыжня России»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«Кубок мэра по футболу»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Кросс нации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Областные и районные соревнования по хоккею и футболу - «Спорт против подворотни»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Областной турнир по вольной борьбе памяти тренера –Михаила </w:t>
      </w:r>
      <w:proofErr w:type="spellStart"/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Кучерова</w:t>
      </w:r>
      <w:proofErr w:type="spellEnd"/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Турнир по хоккею памяти Виктора </w:t>
      </w:r>
      <w:proofErr w:type="spellStart"/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Дюнешенко</w:t>
      </w:r>
      <w:proofErr w:type="spellEnd"/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Спартакиада среди предприятий и организаций </w:t>
      </w:r>
    </w:p>
    <w:p w:rsid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Соревнования, </w:t>
      </w:r>
      <w:proofErr w:type="gramStart"/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посвященные  «</w:t>
      </w:r>
      <w:proofErr w:type="gramEnd"/>
      <w:r w:rsidRPr="007010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Дню молодежи», «Дню физкультурника», «Дню образования округа»</w:t>
      </w:r>
    </w:p>
    <w:p w:rsidR="00701024" w:rsidRPr="00701024" w:rsidRDefault="00701024" w:rsidP="0070102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1024">
        <w:rPr>
          <w:rFonts w:ascii="Times New Roman" w:hAnsi="Times New Roman" w:cs="Times New Roman"/>
          <w:sz w:val="28"/>
          <w:szCs w:val="28"/>
        </w:rPr>
        <w:t xml:space="preserve">Спартакиада </w:t>
      </w:r>
      <w:proofErr w:type="gramStart"/>
      <w:r w:rsidRPr="00701024">
        <w:rPr>
          <w:rFonts w:ascii="Times New Roman" w:hAnsi="Times New Roman" w:cs="Times New Roman"/>
          <w:sz w:val="28"/>
          <w:szCs w:val="28"/>
        </w:rPr>
        <w:t>среди  предприятий</w:t>
      </w:r>
      <w:proofErr w:type="gramEnd"/>
      <w:r w:rsidRPr="00701024">
        <w:rPr>
          <w:rFonts w:ascii="Times New Roman" w:hAnsi="Times New Roman" w:cs="Times New Roman"/>
          <w:sz w:val="28"/>
          <w:szCs w:val="28"/>
        </w:rPr>
        <w:t xml:space="preserve"> организаций и учреждений муниципального образования по 9 – </w:t>
      </w:r>
      <w:proofErr w:type="spellStart"/>
      <w:r w:rsidRPr="00701024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01024">
        <w:rPr>
          <w:rFonts w:ascii="Times New Roman" w:hAnsi="Times New Roman" w:cs="Times New Roman"/>
          <w:sz w:val="28"/>
          <w:szCs w:val="28"/>
        </w:rPr>
        <w:t xml:space="preserve"> видам спорта (лыжные гонки, волейбол, настольный теннис, стрельба, шахматы, легкая атлетика, плавание, футбол, бильярд).</w:t>
      </w:r>
    </w:p>
    <w:p w:rsidR="00701024" w:rsidRPr="00701024" w:rsidRDefault="00701024" w:rsidP="0070102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701024">
        <w:rPr>
          <w:rFonts w:ascii="Times New Roman" w:hAnsi="Times New Roman"/>
          <w:sz w:val="28"/>
          <w:szCs w:val="28"/>
        </w:rPr>
        <w:t>партакиада среди работников образования, спартакиада среди дошкол</w:t>
      </w:r>
      <w:r>
        <w:rPr>
          <w:rFonts w:ascii="Times New Roman" w:hAnsi="Times New Roman"/>
          <w:sz w:val="28"/>
          <w:szCs w:val="28"/>
        </w:rPr>
        <w:t>ьных образовательных учреждений.</w:t>
      </w:r>
    </w:p>
    <w:p w:rsidR="00701024" w:rsidRDefault="00701024" w:rsidP="0070102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06D78">
        <w:rPr>
          <w:rFonts w:ascii="Times New Roman" w:hAnsi="Times New Roman"/>
          <w:sz w:val="28"/>
          <w:szCs w:val="28"/>
        </w:rPr>
        <w:t>Весь комплекс мероприятий повлиял на увеличение числа жителей, привлекаемых к занятиям физической культуры и спорта. Доля таких граждан в общей чи</w:t>
      </w:r>
      <w:r>
        <w:rPr>
          <w:rFonts w:ascii="Times New Roman" w:hAnsi="Times New Roman"/>
          <w:sz w:val="28"/>
          <w:szCs w:val="28"/>
        </w:rPr>
        <w:t>сленности населения составила</w:t>
      </w:r>
      <w:r w:rsidRPr="00606D78">
        <w:rPr>
          <w:rFonts w:ascii="Times New Roman" w:hAnsi="Times New Roman"/>
          <w:sz w:val="28"/>
          <w:szCs w:val="28"/>
        </w:rPr>
        <w:t xml:space="preserve"> – 35,7 % прирост составил 14%.</w:t>
      </w:r>
    </w:p>
    <w:p w:rsidR="00701024" w:rsidRDefault="00701024" w:rsidP="0070102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01024" w:rsidRDefault="00701024" w:rsidP="0070102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01024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7D640502" wp14:editId="3690AF01">
            <wp:extent cx="6467475" cy="3771900"/>
            <wp:effectExtent l="0" t="0" r="952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01024" w:rsidRDefault="00701024" w:rsidP="00701024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1024" w:rsidRPr="00701024" w:rsidRDefault="00701024" w:rsidP="00701024">
      <w:pPr>
        <w:tabs>
          <w:tab w:val="left" w:pos="1320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i/>
          <w:sz w:val="24"/>
          <w:szCs w:val="24"/>
        </w:rPr>
        <w:t>№ 26</w:t>
      </w:r>
    </w:p>
    <w:p w:rsidR="00701024" w:rsidRDefault="00701024" w:rsidP="00701024">
      <w:pPr>
        <w:spacing w:after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01024" w:rsidRDefault="00701024" w:rsidP="00701024">
      <w:pPr>
        <w:spacing w:after="0"/>
        <w:ind w:firstLine="709"/>
        <w:jc w:val="both"/>
        <w:rPr>
          <w:color w:val="000000"/>
          <w:sz w:val="28"/>
          <w:szCs w:val="28"/>
        </w:rPr>
      </w:pPr>
      <w:r w:rsidRPr="003063A6">
        <w:rPr>
          <w:rFonts w:ascii="Times New Roman" w:hAnsi="Times New Roman"/>
          <w:sz w:val="28"/>
          <w:szCs w:val="28"/>
          <w:shd w:val="clear" w:color="auto" w:fill="FFFFFF"/>
        </w:rPr>
        <w:t>В течение 2016 года 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дним из ведущих направлений было </w:t>
      </w:r>
      <w:r w:rsidRPr="003063A6">
        <w:rPr>
          <w:rFonts w:ascii="Times New Roman" w:hAnsi="Times New Roman"/>
          <w:sz w:val="28"/>
          <w:szCs w:val="28"/>
          <w:shd w:val="clear" w:color="auto" w:fill="FFFFFF"/>
        </w:rPr>
        <w:t>введение пилотного проекта - сдача норм ГТО.  И</w:t>
      </w:r>
      <w:r w:rsidRPr="003063A6">
        <w:rPr>
          <w:rFonts w:ascii="Times New Roman" w:hAnsi="Times New Roman"/>
          <w:color w:val="000000"/>
          <w:sz w:val="28"/>
          <w:szCs w:val="28"/>
        </w:rPr>
        <w:t>спытания ВФСК ГТО пр</w:t>
      </w:r>
      <w:r>
        <w:rPr>
          <w:rFonts w:ascii="Times New Roman" w:hAnsi="Times New Roman"/>
          <w:color w:val="000000"/>
          <w:sz w:val="28"/>
          <w:szCs w:val="28"/>
        </w:rPr>
        <w:t xml:space="preserve">ошли более 650 человек, из них школьники, </w:t>
      </w:r>
      <w:r w:rsidRPr="003063A6">
        <w:rPr>
          <w:rFonts w:ascii="Times New Roman" w:hAnsi="Times New Roman"/>
          <w:color w:val="000000"/>
          <w:sz w:val="28"/>
          <w:szCs w:val="28"/>
        </w:rPr>
        <w:t xml:space="preserve">молодежь, </w:t>
      </w:r>
      <w:r>
        <w:rPr>
          <w:rFonts w:ascii="Times New Roman" w:hAnsi="Times New Roman"/>
          <w:color w:val="000000"/>
          <w:sz w:val="28"/>
          <w:szCs w:val="28"/>
        </w:rPr>
        <w:t xml:space="preserve">а также </w:t>
      </w:r>
      <w:r w:rsidRPr="003063A6">
        <w:rPr>
          <w:rFonts w:ascii="Times New Roman" w:hAnsi="Times New Roman"/>
          <w:color w:val="000000"/>
          <w:sz w:val="28"/>
          <w:szCs w:val="28"/>
        </w:rPr>
        <w:t>представители организаций и предприятий района.</w:t>
      </w:r>
      <w:r w:rsidRPr="003063A6">
        <w:rPr>
          <w:color w:val="000000"/>
          <w:sz w:val="28"/>
          <w:szCs w:val="28"/>
        </w:rPr>
        <w:t xml:space="preserve"> </w:t>
      </w:r>
    </w:p>
    <w:p w:rsidR="00701024" w:rsidRPr="00701024" w:rsidRDefault="00701024" w:rsidP="0070102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</w:rPr>
        <w:t>По итогам 2016 года наилучших результатов достигли: взрослая   хоккейная команда «Северная звезда», ставшая чемпионом области в ночной хоккейной лиги и занявшая 6 место во Всероссийских соревнованиях ночной хоккейной лиги в г. Сочи. Чемпионами Сахалинской области по хоккею стали «</w:t>
      </w:r>
      <w:proofErr w:type="spellStart"/>
      <w:r w:rsidRPr="00701024">
        <w:rPr>
          <w:rFonts w:ascii="Times New Roman" w:hAnsi="Times New Roman" w:cs="Times New Roman"/>
          <w:color w:val="000000"/>
          <w:sz w:val="28"/>
          <w:szCs w:val="28"/>
        </w:rPr>
        <w:t>Ногликские</w:t>
      </w:r>
      <w:proofErr w:type="spellEnd"/>
      <w:r w:rsidRPr="00701024">
        <w:rPr>
          <w:rFonts w:ascii="Times New Roman" w:hAnsi="Times New Roman" w:cs="Times New Roman"/>
          <w:color w:val="000000"/>
          <w:sz w:val="28"/>
          <w:szCs w:val="28"/>
        </w:rPr>
        <w:t xml:space="preserve"> Медведи» в г. Макарове, тренер </w:t>
      </w:r>
      <w:proofErr w:type="spellStart"/>
      <w:r w:rsidRPr="00701024">
        <w:rPr>
          <w:rFonts w:ascii="Times New Roman" w:hAnsi="Times New Roman" w:cs="Times New Roman"/>
          <w:color w:val="000000"/>
          <w:sz w:val="28"/>
          <w:szCs w:val="28"/>
        </w:rPr>
        <w:t>Гарматюк</w:t>
      </w:r>
      <w:proofErr w:type="spellEnd"/>
      <w:r w:rsidRPr="00701024">
        <w:rPr>
          <w:rFonts w:ascii="Times New Roman" w:hAnsi="Times New Roman" w:cs="Times New Roman"/>
          <w:color w:val="000000"/>
          <w:sz w:val="28"/>
          <w:szCs w:val="28"/>
        </w:rPr>
        <w:t xml:space="preserve"> Александр Николаевич. Чемпионами первенства Сахалинской области среди юношей стали наши футболисты – тренер </w:t>
      </w:r>
      <w:proofErr w:type="spellStart"/>
      <w:r w:rsidRPr="00701024">
        <w:rPr>
          <w:rFonts w:ascii="Times New Roman" w:hAnsi="Times New Roman" w:cs="Times New Roman"/>
          <w:color w:val="000000"/>
          <w:sz w:val="28"/>
          <w:szCs w:val="28"/>
        </w:rPr>
        <w:t>Барышевский</w:t>
      </w:r>
      <w:proofErr w:type="spellEnd"/>
      <w:r w:rsidRPr="00701024">
        <w:rPr>
          <w:rFonts w:ascii="Times New Roman" w:hAnsi="Times New Roman" w:cs="Times New Roman"/>
          <w:color w:val="000000"/>
          <w:sz w:val="28"/>
          <w:szCs w:val="28"/>
        </w:rPr>
        <w:t xml:space="preserve"> Николай Евгеньевич. Впервые команда администрации муниципального образования принимала участие в спартакиаде среди муниципальных образований области, где заняла 2 место по лыжным гонкам, 3 место по плаванию. </w:t>
      </w:r>
    </w:p>
    <w:p w:rsidR="00701024" w:rsidRDefault="00701024" w:rsidP="007010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1024">
        <w:rPr>
          <w:rFonts w:ascii="Times New Roman" w:hAnsi="Times New Roman" w:cs="Times New Roman"/>
          <w:color w:val="000000"/>
          <w:sz w:val="28"/>
          <w:szCs w:val="28"/>
        </w:rPr>
        <w:t xml:space="preserve">Сергей Шевченко стал серебряным призером </w:t>
      </w:r>
      <w:r w:rsidRPr="00701024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Первенства России по военному многоборью, проходившему в г. Москве. </w:t>
      </w:r>
      <w:r w:rsidRPr="00701024">
        <w:rPr>
          <w:rFonts w:ascii="Times New Roman" w:hAnsi="Times New Roman" w:cs="Times New Roman"/>
          <w:sz w:val="28"/>
          <w:szCs w:val="28"/>
        </w:rPr>
        <w:t xml:space="preserve">Чемпионом мира по пауэрлифтингу по версии </w:t>
      </w:r>
      <w:r w:rsidRPr="00701024">
        <w:rPr>
          <w:rFonts w:ascii="Times New Roman" w:hAnsi="Times New Roman" w:cs="Times New Roman"/>
          <w:sz w:val="28"/>
          <w:szCs w:val="28"/>
          <w:lang w:val="en-US"/>
        </w:rPr>
        <w:t>AWPC</w:t>
      </w:r>
      <w:r w:rsidRPr="00701024">
        <w:rPr>
          <w:rFonts w:ascii="Times New Roman" w:hAnsi="Times New Roman" w:cs="Times New Roman"/>
          <w:sz w:val="28"/>
          <w:szCs w:val="28"/>
        </w:rPr>
        <w:t xml:space="preserve"> (международная любительская федерация пауэрлифтинга) в г. Курске стал Столбовой Виталий. Кустов Иван стал победителем на дистанции </w:t>
      </w:r>
      <w:smartTag w:uri="urn:schemas-microsoft-com:office:smarttags" w:element="metricconverter">
        <w:smartTagPr>
          <w:attr w:name="ProductID" w:val="30 км"/>
        </w:smartTagPr>
        <w:r w:rsidRPr="00701024">
          <w:rPr>
            <w:rFonts w:ascii="Times New Roman" w:hAnsi="Times New Roman" w:cs="Times New Roman"/>
            <w:sz w:val="28"/>
            <w:szCs w:val="28"/>
          </w:rPr>
          <w:t>30 км</w:t>
        </w:r>
      </w:smartTag>
      <w:r w:rsidRPr="00701024">
        <w:rPr>
          <w:rFonts w:ascii="Times New Roman" w:hAnsi="Times New Roman" w:cs="Times New Roman"/>
          <w:sz w:val="28"/>
          <w:szCs w:val="28"/>
        </w:rPr>
        <w:t xml:space="preserve"> на Международном марафоне памяти </w:t>
      </w:r>
      <w:proofErr w:type="spellStart"/>
      <w:r w:rsidRPr="00701024">
        <w:rPr>
          <w:rFonts w:ascii="Times New Roman" w:hAnsi="Times New Roman" w:cs="Times New Roman"/>
          <w:sz w:val="28"/>
          <w:szCs w:val="28"/>
        </w:rPr>
        <w:t>И.П.Фархутдинова</w:t>
      </w:r>
      <w:proofErr w:type="spellEnd"/>
      <w:r w:rsidRPr="00701024">
        <w:rPr>
          <w:rFonts w:ascii="Times New Roman" w:hAnsi="Times New Roman" w:cs="Times New Roman"/>
          <w:sz w:val="28"/>
          <w:szCs w:val="28"/>
        </w:rPr>
        <w:t>. Иван - Призер Чемпионата области, победитель областных соревнований по лыжным гонка.</w:t>
      </w:r>
    </w:p>
    <w:p w:rsidR="004679EE" w:rsidRPr="004679EE" w:rsidRDefault="004679EE" w:rsidP="004679EE">
      <w:pPr>
        <w:spacing w:after="0" w:line="240" w:lineRule="auto"/>
        <w:ind w:right="-6"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4679EE">
        <w:rPr>
          <w:rFonts w:ascii="Times New Roman" w:hAnsi="Times New Roman"/>
          <w:b/>
          <w:i/>
          <w:sz w:val="28"/>
          <w:szCs w:val="28"/>
        </w:rPr>
        <w:lastRenderedPageBreak/>
        <w:t>Организация занятости и трудоустройство подростков, молодежная политика</w:t>
      </w:r>
    </w:p>
    <w:p w:rsidR="004679EE" w:rsidRDefault="004679EE" w:rsidP="004679EE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679EE" w:rsidRPr="00F44819" w:rsidRDefault="004679EE" w:rsidP="004679EE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819">
        <w:rPr>
          <w:rFonts w:ascii="Times New Roman" w:hAnsi="Times New Roman"/>
          <w:sz w:val="28"/>
          <w:szCs w:val="28"/>
        </w:rPr>
        <w:t>Молодежная политика в муниципальном образовании ориентирована на максимальное включение молодежи в социальную жизнь округа, на создание условий и возможностей для решения молодежных проблем</w:t>
      </w:r>
      <w:r>
        <w:rPr>
          <w:rFonts w:ascii="Times New Roman" w:hAnsi="Times New Roman"/>
          <w:sz w:val="28"/>
          <w:szCs w:val="28"/>
        </w:rPr>
        <w:t>.</w:t>
      </w:r>
    </w:p>
    <w:p w:rsidR="004679EE" w:rsidRDefault="004679EE" w:rsidP="004679EE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EB2BF8">
        <w:rPr>
          <w:rFonts w:ascii="Times New Roman" w:hAnsi="Times New Roman"/>
          <w:sz w:val="28"/>
          <w:szCs w:val="28"/>
        </w:rPr>
        <w:t>С целью пропаганды здорового образа жизни, правонарушений и борьбе с алкоголизмом и наркотизацией, привлечения подростков и молодежи в общественно-политическую жизнь городского округа, администрацией и учреждениями проводились акции, презентации, круглые столы, рейды различной направленности и другие мероприятия.</w:t>
      </w:r>
    </w:p>
    <w:p w:rsidR="004679EE" w:rsidRPr="00832C8B" w:rsidRDefault="004679EE" w:rsidP="004679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C8B">
        <w:rPr>
          <w:rFonts w:ascii="Times New Roman" w:hAnsi="Times New Roman"/>
          <w:sz w:val="28"/>
          <w:szCs w:val="28"/>
        </w:rPr>
        <w:t>В 2016 году молодежь округа активно принимала участие в работе форумов:</w:t>
      </w:r>
    </w:p>
    <w:p w:rsidR="004679EE" w:rsidRDefault="004679EE" w:rsidP="004679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C8B">
        <w:rPr>
          <w:rFonts w:ascii="Times New Roman" w:hAnsi="Times New Roman"/>
          <w:sz w:val="28"/>
          <w:szCs w:val="28"/>
        </w:rPr>
        <w:t xml:space="preserve"> - федеральный форум «Таврида» в Крыму и «Территория смыслов» в г. Владимире-на-</w:t>
      </w:r>
      <w:proofErr w:type="spellStart"/>
      <w:r w:rsidRPr="00832C8B">
        <w:rPr>
          <w:rFonts w:ascii="Times New Roman" w:hAnsi="Times New Roman"/>
          <w:sz w:val="28"/>
          <w:szCs w:val="28"/>
        </w:rPr>
        <w:t>Клязьме</w:t>
      </w:r>
      <w:proofErr w:type="spellEnd"/>
      <w:r w:rsidRPr="00832C8B">
        <w:rPr>
          <w:rFonts w:ascii="Times New Roman" w:hAnsi="Times New Roman"/>
          <w:sz w:val="28"/>
          <w:szCs w:val="28"/>
        </w:rPr>
        <w:t xml:space="preserve">.  </w:t>
      </w:r>
    </w:p>
    <w:p w:rsidR="004679EE" w:rsidRPr="00832C8B" w:rsidRDefault="004679EE" w:rsidP="004679EE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362D68" wp14:editId="3E6AE7D1">
            <wp:extent cx="3876675" cy="4324350"/>
            <wp:effectExtent l="0" t="0" r="9525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429" cy="43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EE" w:rsidRDefault="004679EE" w:rsidP="004679EE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Гарипова Ульяна</w:t>
      </w:r>
    </w:p>
    <w:p w:rsidR="004679EE" w:rsidRPr="004679EE" w:rsidRDefault="004679EE" w:rsidP="004679EE">
      <w:pPr>
        <w:spacing w:after="0"/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4679EE" w:rsidRPr="00832C8B" w:rsidRDefault="004679EE" w:rsidP="004679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C8B">
        <w:rPr>
          <w:rFonts w:ascii="Times New Roman" w:hAnsi="Times New Roman"/>
          <w:sz w:val="28"/>
          <w:szCs w:val="28"/>
        </w:rPr>
        <w:t xml:space="preserve">Во </w:t>
      </w:r>
      <w:r>
        <w:rPr>
          <w:rFonts w:ascii="Times New Roman" w:hAnsi="Times New Roman"/>
          <w:sz w:val="28"/>
          <w:szCs w:val="28"/>
        </w:rPr>
        <w:t>Всероссийском форуме Таврида</w:t>
      </w:r>
      <w:r w:rsidRPr="00832C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Сахалинскую область на смене «</w:t>
      </w:r>
      <w:r w:rsidRPr="00832C8B">
        <w:rPr>
          <w:rFonts w:ascii="Times New Roman" w:hAnsi="Times New Roman"/>
          <w:sz w:val="28"/>
          <w:szCs w:val="28"/>
        </w:rPr>
        <w:t>Молодые композиторы, музыканты, хореографы» представляла Гарипова Ульяна, хореограф Районного центра досуга и заняла второе место выиграв грант в размере 200 тысяч рублей.</w:t>
      </w:r>
      <w:r w:rsidRPr="00832C8B">
        <w:rPr>
          <w:rFonts w:ascii="Times New Roman" w:hAnsi="Times New Roman"/>
          <w:b/>
          <w:sz w:val="28"/>
          <w:szCs w:val="28"/>
        </w:rPr>
        <w:t xml:space="preserve"> </w:t>
      </w:r>
      <w:r w:rsidRPr="00832C8B">
        <w:rPr>
          <w:rFonts w:ascii="Times New Roman" w:hAnsi="Times New Roman"/>
          <w:bCs/>
          <w:sz w:val="28"/>
          <w:szCs w:val="28"/>
        </w:rPr>
        <w:t xml:space="preserve"> На форуме «Территория смыслов» приняла участие специалист по связям с общественностью и СМИ администрации </w:t>
      </w:r>
      <w:r w:rsidRPr="00832C8B">
        <w:rPr>
          <w:rFonts w:ascii="Times New Roman" w:hAnsi="Times New Roman"/>
          <w:bCs/>
          <w:sz w:val="28"/>
          <w:szCs w:val="28"/>
        </w:rPr>
        <w:lastRenderedPageBreak/>
        <w:t>Шаповалова Владислава. Она получила сертификат на прохождение обучение в МГУ в 2017 году.</w:t>
      </w:r>
    </w:p>
    <w:p w:rsidR="004679EE" w:rsidRPr="00832C8B" w:rsidRDefault="004679EE" w:rsidP="004679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C8B">
        <w:rPr>
          <w:rFonts w:ascii="Times New Roman" w:hAnsi="Times New Roman"/>
          <w:sz w:val="28"/>
          <w:szCs w:val="28"/>
        </w:rPr>
        <w:t xml:space="preserve">- региональном форуме «Амур» в Комсомольске-на-Амуре. </w:t>
      </w:r>
    </w:p>
    <w:p w:rsidR="004679EE" w:rsidRPr="000326BF" w:rsidRDefault="004679EE" w:rsidP="004679E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32C8B">
        <w:rPr>
          <w:rFonts w:ascii="Times New Roman" w:hAnsi="Times New Roman"/>
          <w:sz w:val="28"/>
          <w:szCs w:val="28"/>
        </w:rPr>
        <w:t xml:space="preserve"> В его работе принял участие представите</w:t>
      </w:r>
      <w:r>
        <w:rPr>
          <w:rFonts w:ascii="Times New Roman" w:hAnsi="Times New Roman"/>
          <w:sz w:val="28"/>
          <w:szCs w:val="28"/>
        </w:rPr>
        <w:t>ли</w:t>
      </w:r>
      <w:r w:rsidRPr="00832C8B">
        <w:rPr>
          <w:rFonts w:ascii="Times New Roman" w:hAnsi="Times New Roman"/>
          <w:sz w:val="28"/>
          <w:szCs w:val="28"/>
        </w:rPr>
        <w:t xml:space="preserve"> округа – Кирилл </w:t>
      </w:r>
      <w:proofErr w:type="spellStart"/>
      <w:r w:rsidRPr="00832C8B">
        <w:rPr>
          <w:rFonts w:ascii="Times New Roman" w:hAnsi="Times New Roman"/>
          <w:sz w:val="28"/>
          <w:szCs w:val="28"/>
        </w:rPr>
        <w:t>Митрофанкин</w:t>
      </w:r>
      <w:proofErr w:type="spellEnd"/>
      <w:r w:rsidRPr="00832C8B">
        <w:rPr>
          <w:rFonts w:ascii="Times New Roman" w:hAnsi="Times New Roman"/>
          <w:sz w:val="28"/>
          <w:szCs w:val="28"/>
        </w:rPr>
        <w:t xml:space="preserve"> и Юрий Величко, который успешно защитил свой проект на конкурсе проектов и выиграл грант в размере 100 тысяч на реализацию своей идеи - «По следам предков», направленный на развитие туризма на севере Сахалина.</w:t>
      </w:r>
    </w:p>
    <w:p w:rsidR="004679EE" w:rsidRPr="000326BF" w:rsidRDefault="004679EE" w:rsidP="004679EE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ab/>
        <w:t xml:space="preserve">Трудовой занятостью </w:t>
      </w:r>
      <w:r>
        <w:rPr>
          <w:rFonts w:ascii="Times New Roman" w:hAnsi="Times New Roman"/>
          <w:sz w:val="28"/>
          <w:szCs w:val="28"/>
        </w:rPr>
        <w:t>было</w:t>
      </w:r>
      <w:r w:rsidRPr="000326BF">
        <w:rPr>
          <w:rFonts w:ascii="Times New Roman" w:hAnsi="Times New Roman"/>
          <w:sz w:val="28"/>
          <w:szCs w:val="28"/>
        </w:rPr>
        <w:t xml:space="preserve"> охвачено</w:t>
      </w:r>
      <w:r>
        <w:rPr>
          <w:rFonts w:ascii="Times New Roman" w:hAnsi="Times New Roman"/>
          <w:sz w:val="28"/>
          <w:szCs w:val="28"/>
        </w:rPr>
        <w:t xml:space="preserve"> 283</w:t>
      </w:r>
      <w:r w:rsidRPr="000326BF">
        <w:rPr>
          <w:rFonts w:ascii="Times New Roman" w:hAnsi="Times New Roman"/>
          <w:sz w:val="28"/>
          <w:szCs w:val="28"/>
        </w:rPr>
        <w:t xml:space="preserve"> подростка (</w:t>
      </w:r>
      <w:r>
        <w:rPr>
          <w:rFonts w:ascii="Times New Roman" w:hAnsi="Times New Roman"/>
          <w:sz w:val="28"/>
          <w:szCs w:val="28"/>
        </w:rPr>
        <w:t>2015</w:t>
      </w:r>
      <w:r w:rsidRPr="000326BF">
        <w:rPr>
          <w:rFonts w:ascii="Times New Roman" w:hAnsi="Times New Roman"/>
          <w:sz w:val="28"/>
          <w:szCs w:val="28"/>
        </w:rPr>
        <w:t xml:space="preserve"> г -</w:t>
      </w:r>
      <w:r>
        <w:rPr>
          <w:rFonts w:ascii="Times New Roman" w:hAnsi="Times New Roman"/>
          <w:sz w:val="28"/>
          <w:szCs w:val="28"/>
        </w:rPr>
        <w:t>289</w:t>
      </w:r>
      <w:r w:rsidRPr="000326BF">
        <w:rPr>
          <w:rFonts w:ascii="Times New Roman" w:hAnsi="Times New Roman"/>
          <w:sz w:val="28"/>
          <w:szCs w:val="28"/>
        </w:rPr>
        <w:t xml:space="preserve"> чел.). На оплату труда использованы средства в сумме </w:t>
      </w:r>
      <w:r>
        <w:rPr>
          <w:rFonts w:ascii="Times New Roman" w:hAnsi="Times New Roman"/>
          <w:sz w:val="28"/>
          <w:szCs w:val="28"/>
        </w:rPr>
        <w:t>1,6</w:t>
      </w:r>
      <w:r w:rsidRPr="000326BF">
        <w:rPr>
          <w:rFonts w:ascii="Times New Roman" w:hAnsi="Times New Roman"/>
          <w:sz w:val="28"/>
          <w:szCs w:val="28"/>
        </w:rPr>
        <w:t xml:space="preserve"> млн. руб., из них </w:t>
      </w:r>
      <w:r>
        <w:rPr>
          <w:rFonts w:ascii="Times New Roman" w:hAnsi="Times New Roman"/>
          <w:sz w:val="28"/>
          <w:szCs w:val="28"/>
        </w:rPr>
        <w:t>8</w:t>
      </w:r>
      <w:r w:rsidRPr="000326BF">
        <w:rPr>
          <w:rFonts w:ascii="Times New Roman" w:hAnsi="Times New Roman"/>
          <w:sz w:val="28"/>
          <w:szCs w:val="28"/>
        </w:rPr>
        <w:t>1% это средства областного и местного бюджетов.</w:t>
      </w:r>
    </w:p>
    <w:p w:rsidR="004679EE" w:rsidRPr="000326BF" w:rsidRDefault="004679EE" w:rsidP="004679EE">
      <w:pPr>
        <w:spacing w:after="0" w:line="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 На реализацию мероприятий муниципальной программы «Обеспечение граждан качественным жильем</w:t>
      </w:r>
      <w:r>
        <w:rPr>
          <w:rFonts w:ascii="Times New Roman" w:hAnsi="Times New Roman"/>
          <w:sz w:val="28"/>
          <w:szCs w:val="28"/>
        </w:rPr>
        <w:t>», трем</w:t>
      </w:r>
      <w:r w:rsidRPr="000326BF">
        <w:rPr>
          <w:rFonts w:ascii="Times New Roman" w:hAnsi="Times New Roman"/>
          <w:sz w:val="28"/>
          <w:szCs w:val="28"/>
        </w:rPr>
        <w:t xml:space="preserve"> молодым семьям, было</w:t>
      </w:r>
      <w:r>
        <w:rPr>
          <w:rFonts w:ascii="Times New Roman" w:hAnsi="Times New Roman"/>
          <w:sz w:val="28"/>
          <w:szCs w:val="28"/>
        </w:rPr>
        <w:t xml:space="preserve"> выделено 4,1</w:t>
      </w:r>
      <w:r w:rsidRPr="000326BF">
        <w:rPr>
          <w:rFonts w:ascii="Times New Roman" w:hAnsi="Times New Roman"/>
          <w:sz w:val="28"/>
          <w:szCs w:val="28"/>
        </w:rPr>
        <w:t xml:space="preserve"> млн. руб. бюджетных средств на улучшение жилищных условий.</w:t>
      </w:r>
    </w:p>
    <w:p w:rsidR="00701024" w:rsidRDefault="00701024" w:rsidP="007010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79EE" w:rsidRPr="004679EE" w:rsidRDefault="004679EE" w:rsidP="004679EE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4679EE">
        <w:rPr>
          <w:rFonts w:ascii="Times New Roman" w:hAnsi="Times New Roman"/>
          <w:b/>
          <w:i/>
          <w:sz w:val="28"/>
          <w:szCs w:val="28"/>
        </w:rPr>
        <w:t>Создание условий для традиционного проживания и хозяйствования коренных малочисленных народов Севера</w:t>
      </w:r>
    </w:p>
    <w:p w:rsidR="004679EE" w:rsidRDefault="004679EE" w:rsidP="004679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4679EE" w:rsidRDefault="004679EE" w:rsidP="004679EE">
      <w:pPr>
        <w:spacing w:after="0"/>
        <w:ind w:firstLine="708"/>
        <w:jc w:val="both"/>
        <w:rPr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По состоянию на 01.01.2017</w:t>
      </w:r>
      <w:r w:rsidRPr="000326BF">
        <w:rPr>
          <w:rFonts w:ascii="Times New Roman" w:hAnsi="Times New Roman"/>
          <w:sz w:val="28"/>
          <w:szCs w:val="28"/>
        </w:rPr>
        <w:t xml:space="preserve"> общая численность коренных малочисленных народов, проживающих на территории муниципального образования, составляет 1143 </w:t>
      </w:r>
      <w:r w:rsidRPr="000326BF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Pr="000326BF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естественная убыль – 8 чел.</w:t>
      </w:r>
      <w:r w:rsidRPr="000326BF">
        <w:rPr>
          <w:rFonts w:ascii="Times New Roman" w:hAnsi="Times New Roman"/>
          <w:sz w:val="28"/>
          <w:szCs w:val="28"/>
        </w:rPr>
        <w:t>).</w:t>
      </w:r>
      <w:r w:rsidRPr="000326BF">
        <w:rPr>
          <w:sz w:val="26"/>
          <w:szCs w:val="26"/>
        </w:rPr>
        <w:t xml:space="preserve">  </w:t>
      </w:r>
    </w:p>
    <w:p w:rsidR="004679EE" w:rsidRPr="000326BF" w:rsidRDefault="004679EE" w:rsidP="004679EE">
      <w:pPr>
        <w:spacing w:after="0"/>
        <w:ind w:firstLine="708"/>
        <w:jc w:val="both"/>
        <w:rPr>
          <w:sz w:val="26"/>
          <w:szCs w:val="26"/>
        </w:rPr>
      </w:pPr>
      <w:r w:rsidRPr="000326BF">
        <w:rPr>
          <w:sz w:val="26"/>
          <w:szCs w:val="26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201FD0A" wp14:editId="0FB00473">
            <wp:extent cx="5591174" cy="3390900"/>
            <wp:effectExtent l="0" t="0" r="0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94" cy="339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EE" w:rsidRPr="004679EE" w:rsidRDefault="004679EE" w:rsidP="004679E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Национальный ансамбль «</w:t>
      </w:r>
      <w:proofErr w:type="spellStart"/>
      <w:r>
        <w:rPr>
          <w:rFonts w:ascii="Times New Roman" w:hAnsi="Times New Roman"/>
          <w:i/>
          <w:sz w:val="24"/>
          <w:szCs w:val="24"/>
        </w:rPr>
        <w:t>Ари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Ла Миф»</w:t>
      </w:r>
    </w:p>
    <w:p w:rsidR="004679EE" w:rsidRDefault="004679EE" w:rsidP="004679E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679EE" w:rsidRPr="000326BF" w:rsidRDefault="004679EE" w:rsidP="004679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t xml:space="preserve">   В муниципальном образовании </w:t>
      </w:r>
      <w:r w:rsidRPr="000326BF">
        <w:rPr>
          <w:rFonts w:ascii="Times New Roman" w:hAnsi="Times New Roman"/>
          <w:sz w:val="28"/>
          <w:szCs w:val="28"/>
        </w:rPr>
        <w:t>реализуются программы</w:t>
      </w:r>
      <w:r w:rsidRPr="000326BF">
        <w:rPr>
          <w:rFonts w:ascii="Times New Roman" w:hAnsi="Times New Roman"/>
          <w:sz w:val="28"/>
          <w:szCs w:val="28"/>
        </w:rPr>
        <w:t xml:space="preserve"> в целях содействия социально – экономическому развитию коренных народов Севера: </w:t>
      </w:r>
    </w:p>
    <w:p w:rsidR="004679EE" w:rsidRPr="000326BF" w:rsidRDefault="004679EE" w:rsidP="004679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326BF">
        <w:rPr>
          <w:rFonts w:ascii="Times New Roman" w:hAnsi="Times New Roman"/>
          <w:sz w:val="28"/>
          <w:szCs w:val="28"/>
        </w:rPr>
        <w:lastRenderedPageBreak/>
        <w:t>- государственная программа «Укрепление единства российской нации и этнокультурное развитие народов России, проживающих на территории Сахалинской</w:t>
      </w:r>
      <w:r>
        <w:rPr>
          <w:rFonts w:ascii="Times New Roman" w:hAnsi="Times New Roman"/>
          <w:sz w:val="28"/>
          <w:szCs w:val="28"/>
        </w:rPr>
        <w:t xml:space="preserve"> области на 2015 – 2020 годы». Освоение по программе составило 97% на сумму 4,4 млн. </w:t>
      </w:r>
      <w:proofErr w:type="gramStart"/>
      <w:r>
        <w:rPr>
          <w:rFonts w:ascii="Times New Roman" w:hAnsi="Times New Roman"/>
          <w:sz w:val="28"/>
          <w:szCs w:val="28"/>
        </w:rPr>
        <w:t>рублей.;</w:t>
      </w:r>
      <w:proofErr w:type="gramEnd"/>
      <w:r w:rsidRPr="000326BF">
        <w:rPr>
          <w:rFonts w:ascii="Times New Roman" w:hAnsi="Times New Roman"/>
          <w:b/>
          <w:sz w:val="28"/>
          <w:szCs w:val="28"/>
        </w:rPr>
        <w:t xml:space="preserve"> </w:t>
      </w:r>
    </w:p>
    <w:p w:rsidR="004679EE" w:rsidRDefault="004679EE" w:rsidP="004679E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C01AC">
        <w:rPr>
          <w:rFonts w:ascii="Times New Roman" w:hAnsi="Times New Roman"/>
          <w:sz w:val="28"/>
          <w:szCs w:val="28"/>
        </w:rPr>
        <w:t xml:space="preserve">- а также действует социальная программа в рамках «Плана содействия развитию коренных малочисленных народов Севера Сахалина» при финансовой поддержке компании «Сахалин </w:t>
      </w:r>
      <w:proofErr w:type="spellStart"/>
      <w:r w:rsidRPr="00EC01AC">
        <w:rPr>
          <w:rFonts w:ascii="Times New Roman" w:hAnsi="Times New Roman"/>
          <w:sz w:val="28"/>
          <w:szCs w:val="28"/>
        </w:rPr>
        <w:t>Энерджи</w:t>
      </w:r>
      <w:proofErr w:type="spellEnd"/>
      <w:r w:rsidRPr="00EC01AC">
        <w:rPr>
          <w:rFonts w:ascii="Times New Roman" w:hAnsi="Times New Roman"/>
          <w:sz w:val="28"/>
          <w:szCs w:val="28"/>
        </w:rPr>
        <w:t xml:space="preserve">» и «Эксон </w:t>
      </w:r>
      <w:proofErr w:type="spellStart"/>
      <w:r w:rsidRPr="00EC01AC">
        <w:rPr>
          <w:rFonts w:ascii="Times New Roman" w:hAnsi="Times New Roman"/>
          <w:sz w:val="28"/>
          <w:szCs w:val="28"/>
        </w:rPr>
        <w:t>Нефтегаз</w:t>
      </w:r>
      <w:proofErr w:type="spellEnd"/>
      <w:r w:rsidRPr="00EC01AC">
        <w:rPr>
          <w:rFonts w:ascii="Times New Roman" w:hAnsi="Times New Roman"/>
          <w:sz w:val="28"/>
          <w:szCs w:val="28"/>
        </w:rPr>
        <w:t xml:space="preserve"> Лимитед». Финансирование мероприятий составило 4,9 млн. рублей.</w:t>
      </w:r>
    </w:p>
    <w:p w:rsidR="004679EE" w:rsidRPr="000326BF" w:rsidRDefault="004679EE" w:rsidP="004679E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При поддержки компании </w:t>
      </w:r>
      <w:r w:rsidRPr="00EC01AC">
        <w:rPr>
          <w:rFonts w:ascii="Times New Roman" w:hAnsi="Times New Roman"/>
          <w:sz w:val="28"/>
          <w:szCs w:val="28"/>
        </w:rPr>
        <w:t xml:space="preserve">«Эксон </w:t>
      </w:r>
      <w:proofErr w:type="spellStart"/>
      <w:r w:rsidRPr="00EC01AC">
        <w:rPr>
          <w:rFonts w:ascii="Times New Roman" w:hAnsi="Times New Roman"/>
          <w:sz w:val="28"/>
          <w:szCs w:val="28"/>
        </w:rPr>
        <w:t>Нефтегаз</w:t>
      </w:r>
      <w:proofErr w:type="spellEnd"/>
      <w:r w:rsidRPr="00EC01AC">
        <w:rPr>
          <w:rFonts w:ascii="Times New Roman" w:hAnsi="Times New Roman"/>
          <w:sz w:val="28"/>
          <w:szCs w:val="28"/>
        </w:rPr>
        <w:t xml:space="preserve"> Лимитед»</w:t>
      </w:r>
      <w:r>
        <w:rPr>
          <w:rFonts w:ascii="Times New Roman" w:hAnsi="Times New Roman"/>
          <w:sz w:val="28"/>
          <w:szCs w:val="28"/>
        </w:rPr>
        <w:t xml:space="preserve"> в рамках проекта «Спасение сахалинских оленей» в первые было завезено 30 голов якутского северного оленя для родовой общины «</w:t>
      </w:r>
      <w:proofErr w:type="spellStart"/>
      <w:r>
        <w:rPr>
          <w:rFonts w:ascii="Times New Roman" w:hAnsi="Times New Roman"/>
          <w:sz w:val="28"/>
          <w:szCs w:val="28"/>
        </w:rPr>
        <w:t>Юктэ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701024" w:rsidRPr="00BD6773" w:rsidRDefault="004679EE" w:rsidP="00BD677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0326BF">
        <w:rPr>
          <w:rFonts w:ascii="Times New Roman" w:hAnsi="Times New Roman"/>
          <w:sz w:val="28"/>
          <w:szCs w:val="28"/>
        </w:rPr>
        <w:t xml:space="preserve">астера декоративно – прикладного искусства: Осиповой В.В. </w:t>
      </w:r>
      <w:proofErr w:type="spellStart"/>
      <w:r w:rsidRPr="000326BF">
        <w:rPr>
          <w:rFonts w:ascii="Times New Roman" w:hAnsi="Times New Roman"/>
          <w:sz w:val="28"/>
          <w:szCs w:val="28"/>
        </w:rPr>
        <w:t>Левкун</w:t>
      </w:r>
      <w:proofErr w:type="spellEnd"/>
      <w:r w:rsidRPr="000326BF">
        <w:rPr>
          <w:rFonts w:ascii="Times New Roman" w:hAnsi="Times New Roman"/>
          <w:sz w:val="28"/>
          <w:szCs w:val="28"/>
        </w:rPr>
        <w:t xml:space="preserve"> В.В. </w:t>
      </w:r>
      <w:proofErr w:type="spellStart"/>
      <w:r w:rsidRPr="000326BF">
        <w:rPr>
          <w:rFonts w:ascii="Times New Roman" w:hAnsi="Times New Roman"/>
          <w:sz w:val="28"/>
          <w:szCs w:val="28"/>
        </w:rPr>
        <w:t>Садиновой</w:t>
      </w:r>
      <w:proofErr w:type="spellEnd"/>
      <w:r w:rsidRPr="000326BF">
        <w:rPr>
          <w:rFonts w:ascii="Times New Roman" w:hAnsi="Times New Roman"/>
          <w:sz w:val="28"/>
          <w:szCs w:val="28"/>
        </w:rPr>
        <w:t xml:space="preserve"> Е.В., представляли свои работы на ежегодной выставке – ярмарке «Северная цивилизация», в павильоне Всероссийского Выставочного Центра г. Москвы.  Мастерами было получено золотые медали, дипломы</w:t>
      </w:r>
      <w:r w:rsidRPr="00EC01A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01AC">
        <w:rPr>
          <w:rFonts w:ascii="Times New Roman" w:hAnsi="Times New Roman"/>
          <w:sz w:val="28"/>
          <w:szCs w:val="28"/>
        </w:rPr>
        <w:t xml:space="preserve"> Ма</w:t>
      </w:r>
      <w:r>
        <w:rPr>
          <w:rFonts w:ascii="Times New Roman" w:hAnsi="Times New Roman"/>
          <w:sz w:val="28"/>
          <w:szCs w:val="28"/>
        </w:rPr>
        <w:t xml:space="preserve">стера (Осипова В.В. </w:t>
      </w:r>
      <w:proofErr w:type="spellStart"/>
      <w:r>
        <w:rPr>
          <w:rFonts w:ascii="Times New Roman" w:hAnsi="Times New Roman"/>
          <w:sz w:val="28"/>
          <w:szCs w:val="28"/>
        </w:rPr>
        <w:t>Левкун</w:t>
      </w:r>
      <w:proofErr w:type="spellEnd"/>
      <w:r>
        <w:rPr>
          <w:rFonts w:ascii="Times New Roman" w:hAnsi="Times New Roman"/>
          <w:sz w:val="28"/>
          <w:szCs w:val="28"/>
        </w:rPr>
        <w:t xml:space="preserve"> В.В)</w:t>
      </w:r>
      <w:r w:rsidRPr="00EC01AC">
        <w:rPr>
          <w:rFonts w:ascii="Times New Roman" w:hAnsi="Times New Roman"/>
          <w:sz w:val="28"/>
          <w:szCs w:val="28"/>
        </w:rPr>
        <w:t xml:space="preserve"> в составе делегации Сахалинской области участвовали на Дальневосточном международном экономиче</w:t>
      </w:r>
      <w:r>
        <w:rPr>
          <w:rFonts w:ascii="Times New Roman" w:hAnsi="Times New Roman"/>
          <w:sz w:val="28"/>
          <w:szCs w:val="28"/>
        </w:rPr>
        <w:t>ском форуме в г. Владивостоке.</w:t>
      </w:r>
    </w:p>
    <w:p w:rsidR="004679EE" w:rsidRPr="00BD6773" w:rsidRDefault="004679EE" w:rsidP="00BD67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6773">
        <w:rPr>
          <w:rFonts w:ascii="Times New Roman" w:hAnsi="Times New Roman" w:cs="Times New Roman"/>
          <w:sz w:val="28"/>
          <w:szCs w:val="28"/>
        </w:rPr>
        <w:t xml:space="preserve">     Для сохранения и развития национальных видов спорта, ежегодно </w:t>
      </w:r>
      <w:r w:rsidR="00BD6773">
        <w:rPr>
          <w:rFonts w:ascii="Times New Roman" w:hAnsi="Times New Roman" w:cs="Times New Roman"/>
          <w:sz w:val="28"/>
          <w:szCs w:val="28"/>
        </w:rPr>
        <w:t>представители района участвуют в</w:t>
      </w:r>
      <w:r w:rsidRPr="00BD6773">
        <w:rPr>
          <w:rFonts w:ascii="Times New Roman" w:hAnsi="Times New Roman" w:cs="Times New Roman"/>
          <w:sz w:val="28"/>
          <w:szCs w:val="28"/>
        </w:rPr>
        <w:t xml:space="preserve"> </w:t>
      </w:r>
      <w:r w:rsidR="00BD6773">
        <w:rPr>
          <w:rFonts w:ascii="Times New Roman" w:hAnsi="Times New Roman" w:cs="Times New Roman"/>
          <w:sz w:val="28"/>
          <w:szCs w:val="28"/>
        </w:rPr>
        <w:t>областных</w:t>
      </w:r>
      <w:r w:rsidR="00BD6773" w:rsidRPr="00BD6773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="00BD6773">
        <w:rPr>
          <w:rFonts w:ascii="Times New Roman" w:hAnsi="Times New Roman" w:cs="Times New Roman"/>
          <w:sz w:val="28"/>
          <w:szCs w:val="28"/>
        </w:rPr>
        <w:t>х</w:t>
      </w:r>
      <w:r w:rsidRPr="00BD6773">
        <w:rPr>
          <w:rFonts w:ascii="Times New Roman" w:hAnsi="Times New Roman" w:cs="Times New Roman"/>
          <w:sz w:val="28"/>
          <w:szCs w:val="28"/>
        </w:rPr>
        <w:t xml:space="preserve"> по Северному многоборью среди детей, </w:t>
      </w:r>
      <w:r w:rsidR="00BD6773" w:rsidRPr="00BD6773">
        <w:rPr>
          <w:rFonts w:ascii="Times New Roman" w:hAnsi="Times New Roman" w:cs="Times New Roman"/>
          <w:sz w:val="28"/>
          <w:szCs w:val="28"/>
        </w:rPr>
        <w:t>команды участвуют в</w:t>
      </w:r>
      <w:r w:rsidRPr="00BD6773">
        <w:rPr>
          <w:rFonts w:ascii="Times New Roman" w:hAnsi="Times New Roman" w:cs="Times New Roman"/>
          <w:sz w:val="28"/>
          <w:szCs w:val="28"/>
        </w:rPr>
        <w:t xml:space="preserve"> Первенстве области по национальным видам спорта среди детей коренных малочисленных народов Севера. </w:t>
      </w:r>
    </w:p>
    <w:p w:rsidR="00377CE0" w:rsidRDefault="004679EE" w:rsidP="00BD6773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6773">
        <w:rPr>
          <w:rFonts w:ascii="Times New Roman" w:hAnsi="Times New Roman" w:cs="Times New Roman"/>
          <w:sz w:val="28"/>
          <w:szCs w:val="28"/>
        </w:rPr>
        <w:t xml:space="preserve">     Уделяется большое внимание организации летнего отдыха и трудовой занятости детей из числа коренных малочисленных народов Севера. </w:t>
      </w:r>
      <w:r w:rsidR="00BD6773" w:rsidRPr="00BD6773">
        <w:rPr>
          <w:rFonts w:ascii="Times New Roman" w:hAnsi="Times New Roman" w:cs="Times New Roman"/>
          <w:sz w:val="28"/>
          <w:szCs w:val="28"/>
        </w:rPr>
        <w:t xml:space="preserve">В оздоровительном </w:t>
      </w:r>
      <w:proofErr w:type="spellStart"/>
      <w:r w:rsidR="00BD6773" w:rsidRPr="00BD6773">
        <w:rPr>
          <w:rFonts w:ascii="Times New Roman" w:hAnsi="Times New Roman" w:cs="Times New Roman"/>
          <w:sz w:val="28"/>
          <w:szCs w:val="28"/>
        </w:rPr>
        <w:t>этнолагере</w:t>
      </w:r>
      <w:proofErr w:type="spellEnd"/>
      <w:r w:rsidR="00BD6773" w:rsidRPr="00BD677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D6773" w:rsidRPr="00BD6773">
        <w:rPr>
          <w:rFonts w:ascii="Times New Roman" w:hAnsi="Times New Roman" w:cs="Times New Roman"/>
          <w:sz w:val="28"/>
          <w:szCs w:val="28"/>
        </w:rPr>
        <w:t>Корх</w:t>
      </w:r>
      <w:proofErr w:type="spellEnd"/>
      <w:r w:rsidR="00BD6773" w:rsidRPr="00BD6773">
        <w:rPr>
          <w:rFonts w:ascii="Times New Roman" w:hAnsi="Times New Roman" w:cs="Times New Roman"/>
          <w:sz w:val="28"/>
          <w:szCs w:val="28"/>
        </w:rPr>
        <w:t>» 25</w:t>
      </w:r>
      <w:r w:rsidRPr="00BD6773">
        <w:rPr>
          <w:rFonts w:ascii="Times New Roman" w:hAnsi="Times New Roman" w:cs="Times New Roman"/>
          <w:sz w:val="28"/>
          <w:szCs w:val="28"/>
        </w:rPr>
        <w:t xml:space="preserve"> чел</w:t>
      </w:r>
      <w:r w:rsidR="00BD6773">
        <w:rPr>
          <w:rFonts w:ascii="Times New Roman" w:hAnsi="Times New Roman" w:cs="Times New Roman"/>
          <w:sz w:val="28"/>
          <w:szCs w:val="28"/>
        </w:rPr>
        <w:t>овек</w:t>
      </w:r>
      <w:r w:rsidRPr="00BD6773">
        <w:rPr>
          <w:rFonts w:ascii="Times New Roman" w:hAnsi="Times New Roman" w:cs="Times New Roman"/>
          <w:sz w:val="28"/>
          <w:szCs w:val="28"/>
        </w:rPr>
        <w:t xml:space="preserve"> на базе МОУ СОШ № </w:t>
      </w:r>
      <w:proofErr w:type="gramStart"/>
      <w:r w:rsidRPr="00BD6773">
        <w:rPr>
          <w:rFonts w:ascii="Times New Roman" w:hAnsi="Times New Roman" w:cs="Times New Roman"/>
          <w:sz w:val="28"/>
          <w:szCs w:val="28"/>
        </w:rPr>
        <w:t>2 ,</w:t>
      </w:r>
      <w:proofErr w:type="gramEnd"/>
      <w:r w:rsidRPr="00BD6773">
        <w:rPr>
          <w:rFonts w:ascii="Times New Roman" w:hAnsi="Times New Roman" w:cs="Times New Roman"/>
          <w:sz w:val="28"/>
          <w:szCs w:val="28"/>
        </w:rPr>
        <w:t xml:space="preserve"> созданы условия для физического и духовного, психологического и культурного  развития детей и подростков, при этом учитываются особенности национальных традиций и обычаев</w:t>
      </w:r>
      <w:r w:rsidR="00BD6773" w:rsidRPr="00BD6773">
        <w:rPr>
          <w:rFonts w:ascii="Times New Roman" w:hAnsi="Times New Roman" w:cs="Times New Roman"/>
          <w:sz w:val="28"/>
          <w:szCs w:val="28"/>
        </w:rPr>
        <w:t>.</w:t>
      </w:r>
    </w:p>
    <w:p w:rsidR="00BD6773" w:rsidRPr="00BD6773" w:rsidRDefault="00BD6773" w:rsidP="00BD6773">
      <w:pPr>
        <w:tabs>
          <w:tab w:val="left" w:pos="1320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sectPr w:rsidR="00BD6773" w:rsidRPr="00BD6773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3CC" w:rsidRDefault="004363CC" w:rsidP="00A6625F">
      <w:pPr>
        <w:spacing w:after="0" w:line="240" w:lineRule="auto"/>
      </w:pPr>
      <w:r>
        <w:separator/>
      </w:r>
    </w:p>
  </w:endnote>
  <w:endnote w:type="continuationSeparator" w:id="0">
    <w:p w:rsidR="004363CC" w:rsidRDefault="004363CC" w:rsidP="00A66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8084404"/>
      <w:docPartObj>
        <w:docPartGallery w:val="Page Numbers (Bottom of Page)"/>
        <w:docPartUnique/>
      </w:docPartObj>
    </w:sdtPr>
    <w:sdtContent>
      <w:p w:rsidR="004363CC" w:rsidRDefault="004363C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9FF">
          <w:rPr>
            <w:noProof/>
          </w:rPr>
          <w:t>24</w:t>
        </w:r>
        <w:r>
          <w:fldChar w:fldCharType="end"/>
        </w:r>
      </w:p>
    </w:sdtContent>
  </w:sdt>
  <w:p w:rsidR="004363CC" w:rsidRDefault="004363C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3CC" w:rsidRDefault="004363CC" w:rsidP="00A6625F">
      <w:pPr>
        <w:spacing w:after="0" w:line="240" w:lineRule="auto"/>
      </w:pPr>
      <w:r>
        <w:separator/>
      </w:r>
    </w:p>
  </w:footnote>
  <w:footnote w:type="continuationSeparator" w:id="0">
    <w:p w:rsidR="004363CC" w:rsidRDefault="004363CC" w:rsidP="00A662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90A66"/>
    <w:multiLevelType w:val="hybridMultilevel"/>
    <w:tmpl w:val="15248598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16D5DE7"/>
    <w:multiLevelType w:val="hybridMultilevel"/>
    <w:tmpl w:val="D69A5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5EC"/>
    <w:rsid w:val="000123A7"/>
    <w:rsid w:val="00042BB8"/>
    <w:rsid w:val="00065189"/>
    <w:rsid w:val="00250520"/>
    <w:rsid w:val="002B141E"/>
    <w:rsid w:val="00377CE0"/>
    <w:rsid w:val="00377E21"/>
    <w:rsid w:val="004051FD"/>
    <w:rsid w:val="004363CC"/>
    <w:rsid w:val="00446259"/>
    <w:rsid w:val="004679EE"/>
    <w:rsid w:val="004F7178"/>
    <w:rsid w:val="005067F6"/>
    <w:rsid w:val="005A5668"/>
    <w:rsid w:val="00701024"/>
    <w:rsid w:val="007113ED"/>
    <w:rsid w:val="00744526"/>
    <w:rsid w:val="007C537E"/>
    <w:rsid w:val="008549FF"/>
    <w:rsid w:val="00887ABA"/>
    <w:rsid w:val="00965A43"/>
    <w:rsid w:val="009973CE"/>
    <w:rsid w:val="009B1E96"/>
    <w:rsid w:val="00A6625F"/>
    <w:rsid w:val="00B64CAF"/>
    <w:rsid w:val="00BD6773"/>
    <w:rsid w:val="00BF5097"/>
    <w:rsid w:val="00CF2F86"/>
    <w:rsid w:val="00D50216"/>
    <w:rsid w:val="00E855EC"/>
    <w:rsid w:val="00F0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D7764B6-E4B5-4C48-910E-1366DAFC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4">
    <w:name w:val="Основной текст с отступом 34"/>
    <w:basedOn w:val="a"/>
    <w:rsid w:val="002B141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3">
    <w:name w:val="Body Text 3"/>
    <w:basedOn w:val="a"/>
    <w:link w:val="30"/>
    <w:rsid w:val="0025052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2505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77E2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A66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625F"/>
  </w:style>
  <w:style w:type="paragraph" w:styleId="a6">
    <w:name w:val="footer"/>
    <w:basedOn w:val="a"/>
    <w:link w:val="a7"/>
    <w:uiPriority w:val="99"/>
    <w:unhideWhenUsed/>
    <w:rsid w:val="00A66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25F"/>
  </w:style>
  <w:style w:type="character" w:styleId="a8">
    <w:name w:val="Strong"/>
    <w:qFormat/>
    <w:rsid w:val="00446259"/>
    <w:rPr>
      <w:b/>
      <w:bCs/>
    </w:rPr>
  </w:style>
  <w:style w:type="paragraph" w:styleId="a9">
    <w:name w:val="Normal (Web)"/>
    <w:basedOn w:val="a"/>
    <w:rsid w:val="00446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965A4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965A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65A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4363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4363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 Spacing"/>
    <w:rsid w:val="004363C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d">
    <w:name w:val="Основной текст_"/>
    <w:link w:val="21"/>
    <w:rsid w:val="008549FF"/>
    <w:rPr>
      <w:sz w:val="25"/>
      <w:szCs w:val="25"/>
      <w:shd w:val="clear" w:color="auto" w:fill="FFFFFF"/>
    </w:rPr>
  </w:style>
  <w:style w:type="character" w:customStyle="1" w:styleId="1">
    <w:name w:val="Основной текст1"/>
    <w:rsid w:val="008549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paragraph" w:customStyle="1" w:styleId="21">
    <w:name w:val="Основной текст2"/>
    <w:basedOn w:val="a"/>
    <w:link w:val="ad"/>
    <w:rsid w:val="008549FF"/>
    <w:pPr>
      <w:widowControl w:val="0"/>
      <w:shd w:val="clear" w:color="auto" w:fill="FFFFFF"/>
      <w:spacing w:after="240" w:line="298" w:lineRule="exact"/>
    </w:pPr>
    <w:rPr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34" Type="http://schemas.openxmlformats.org/officeDocument/2006/relationships/chart" Target="charts/chart21.xml"/><Relationship Id="rId42" Type="http://schemas.openxmlformats.org/officeDocument/2006/relationships/image" Target="media/image10.jpeg"/><Relationship Id="rId47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microsoft.com/office/2007/relationships/diagramDrawing" Target="diagrams/drawing1.xml"/><Relationship Id="rId38" Type="http://schemas.openxmlformats.org/officeDocument/2006/relationships/image" Target="media/image6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diagramData" Target="diagrams/data1.xml"/><Relationship Id="rId4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chart" Target="charts/chart16.xml"/><Relationship Id="rId32" Type="http://schemas.openxmlformats.org/officeDocument/2006/relationships/diagramColors" Target="diagrams/colors1.xml"/><Relationship Id="rId37" Type="http://schemas.openxmlformats.org/officeDocument/2006/relationships/image" Target="media/image5.jpg"/><Relationship Id="rId40" Type="http://schemas.openxmlformats.org/officeDocument/2006/relationships/image" Target="media/image8.jpeg"/><Relationship Id="rId45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3.xml"/><Relationship Id="rId10" Type="http://schemas.openxmlformats.org/officeDocument/2006/relationships/image" Target="media/image3.emf"/><Relationship Id="rId19" Type="http://schemas.openxmlformats.org/officeDocument/2006/relationships/chart" Target="charts/chart11.xml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diagramLayout" Target="diagrams/layout1.xml"/><Relationship Id="rId35" Type="http://schemas.openxmlformats.org/officeDocument/2006/relationships/chart" Target="charts/chart22.xml"/><Relationship Id="rId43" Type="http://schemas.openxmlformats.org/officeDocument/2006/relationships/chart" Target="charts/chart24.xm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4.jpeg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7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8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Изменение численности населения МО "Городской округ Ногликский", чел.</a:t>
            </a:r>
          </a:p>
        </c:rich>
      </c:tx>
      <c:layout>
        <c:manualLayout>
          <c:xMode val="edge"/>
          <c:yMode val="edge"/>
          <c:x val="0.1026936026936027"/>
          <c:y val="1.874999999999999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0808080808080815E-2"/>
          <c:y val="0.19062499999999999"/>
          <c:w val="0.84511784511784516"/>
          <c:h val="0.66874999999999996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естественный прирост (убыль), чел.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6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-30</c:v>
                </c:pt>
                <c:pt idx="1">
                  <c:v>34</c:v>
                </c:pt>
                <c:pt idx="2">
                  <c:v>2</c:v>
                </c:pt>
                <c:pt idx="3">
                  <c:v>-7</c:v>
                </c:pt>
                <c:pt idx="4">
                  <c:v>18</c:v>
                </c:pt>
                <c:pt idx="5">
                  <c:v>-1</c:v>
                </c:pt>
                <c:pt idx="6">
                  <c:v>-5</c:v>
                </c:pt>
                <c:pt idx="7">
                  <c:v>-4</c:v>
                </c:pt>
                <c:pt idx="8">
                  <c:v>-7</c:v>
                </c:pt>
                <c:pt idx="9">
                  <c:v>-33</c:v>
                </c:pt>
                <c:pt idx="10">
                  <c:v>-5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миграционный прирост (убыль), чел.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diamond"/>
            <c:size val="8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-40</c:v>
                </c:pt>
                <c:pt idx="1">
                  <c:v>-23</c:v>
                </c:pt>
                <c:pt idx="2">
                  <c:v>-120</c:v>
                </c:pt>
                <c:pt idx="3">
                  <c:v>-70</c:v>
                </c:pt>
                <c:pt idx="4">
                  <c:v>-82</c:v>
                </c:pt>
                <c:pt idx="5">
                  <c:v>-109</c:v>
                </c:pt>
                <c:pt idx="6">
                  <c:v>-169</c:v>
                </c:pt>
                <c:pt idx="7">
                  <c:v>-200</c:v>
                </c:pt>
                <c:pt idx="8">
                  <c:v>-196</c:v>
                </c:pt>
                <c:pt idx="9">
                  <c:v>-76</c:v>
                </c:pt>
                <c:pt idx="10">
                  <c:v>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7331656"/>
        <c:axId val="227332048"/>
      </c:lineChart>
      <c:catAx>
        <c:axId val="227331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20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7332048"/>
        <c:scaling>
          <c:orientation val="minMax"/>
          <c:max val="40"/>
          <c:min val="-21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1656"/>
        <c:crosses val="autoZero"/>
        <c:crossBetween val="between"/>
        <c:majorUnit val="40"/>
        <c:minorUnit val="40"/>
      </c:valAx>
      <c:spPr>
        <a:gradFill rotWithShape="0">
          <a:gsLst>
            <a:gs pos="0">
              <a:srgbClr val="D1C39F"/>
            </a:gs>
            <a:gs pos="35001">
              <a:srgbClr val="F0EBD5"/>
            </a:gs>
            <a:gs pos="100000">
              <a:srgbClr val="FFEFD1"/>
            </a:gs>
          </a:gsLst>
          <a:lin ang="18900000" scaled="1"/>
        </a:gradFill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3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73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7.2390572390572394E-2"/>
          <c:y val="0.92500000000000004"/>
          <c:w val="0.81986531986531985"/>
          <c:h val="6.8750000000000006E-2"/>
        </c:manualLayout>
      </c:layout>
      <c:overlay val="0"/>
      <c:spPr>
        <a:gradFill rotWithShape="0">
          <a:gsLst>
            <a:gs pos="0">
              <a:srgbClr val="D1C39F"/>
            </a:gs>
            <a:gs pos="35001">
              <a:srgbClr val="F0EBD5"/>
            </a:gs>
            <a:gs pos="100000">
              <a:srgbClr val="FFEFD1"/>
            </a:gs>
          </a:gsLst>
          <a:path path="rect">
            <a:fillToRect l="50000" t="50000" r="50000" b="50000"/>
          </a:path>
        </a:gra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val="96AB94"/>
        </a:gs>
        <a:gs pos="17000">
          <a:srgbClr val="D4DEFF"/>
        </a:gs>
        <a:gs pos="47000">
          <a:srgbClr val="D4DEFF"/>
        </a:gs>
        <a:gs pos="100000">
          <a:srgbClr val="8488C4"/>
        </a:gs>
      </a:gsLst>
      <a:lin ang="2700000" scaled="1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00" baseline="0"/>
            </a:pPr>
            <a:r>
              <a:rPr lang="ru-RU" sz="1300" baseline="0" dirty="0" smtClean="0"/>
              <a:t>Производство хлеба и кондитерских изделий (по информации </a:t>
            </a:r>
            <a:r>
              <a:rPr lang="ru-RU" sz="1200" baseline="0" dirty="0" smtClean="0"/>
              <a:t>хозяйствующих</a:t>
            </a:r>
            <a:r>
              <a:rPr lang="ru-RU" sz="1300" baseline="0" dirty="0" smtClean="0"/>
              <a:t> субъектов)</a:t>
            </a:r>
            <a:endParaRPr lang="ru-RU" sz="1300" baseline="0" dirty="0"/>
          </a:p>
        </c:rich>
      </c:tx>
      <c:layout>
        <c:manualLayout>
          <c:xMode val="edge"/>
          <c:yMode val="edge"/>
          <c:x val="0.22424227169493247"/>
          <c:y val="1.38887916794983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1.5172147391417198E-2"/>
          <c:y val="0.15440924297992664"/>
          <c:w val="0.89327954554768352"/>
          <c:h val="0.662586132380525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Лист1!$E$4</c:f>
              <c:strCache>
                <c:ptCount val="1"/>
                <c:pt idx="0">
                  <c:v>хлеб и хлебобулочные изделия, тн.</c:v>
                </c:pt>
              </c:strCache>
            </c:strRef>
          </c:tx>
          <c:spPr>
            <a:gradFill flip="none" rotWithShape="1">
              <a:gsLst>
                <a:gs pos="0">
                  <a:srgbClr val="FF6699">
                    <a:shade val="30000"/>
                    <a:satMod val="115000"/>
                  </a:srgbClr>
                </a:gs>
                <a:gs pos="50000">
                  <a:srgbClr val="FF6699">
                    <a:shade val="67500"/>
                    <a:satMod val="115000"/>
                  </a:srgbClr>
                </a:gs>
                <a:gs pos="100000">
                  <a:srgbClr val="FF6699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 prst="softRound"/>
            </a:sp3d>
          </c:spPr>
          <c:invertIfNegative val="0"/>
          <c:dLbls>
            <c:spPr>
              <a:noFill/>
            </c:spPr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Лист1!$F$3:$N$3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Лист1!$F$4:$N$4</c:f>
              <c:numCache>
                <c:formatCode>General</c:formatCode>
                <c:ptCount val="7"/>
                <c:pt idx="0">
                  <c:v>663.6</c:v>
                </c:pt>
                <c:pt idx="1">
                  <c:v>606</c:v>
                </c:pt>
                <c:pt idx="2">
                  <c:v>696.6</c:v>
                </c:pt>
                <c:pt idx="3">
                  <c:v>736.9</c:v>
                </c:pt>
                <c:pt idx="4">
                  <c:v>845.6</c:v>
                </c:pt>
                <c:pt idx="5">
                  <c:v>710.9</c:v>
                </c:pt>
                <c:pt idx="6">
                  <c:v>528.1</c:v>
                </c:pt>
              </c:numCache>
            </c:numRef>
          </c:val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кондитерские изделия, тн.</c:v>
                </c:pt>
              </c:strCache>
            </c:strRef>
          </c:tx>
          <c:spPr>
            <a:gradFill flip="none" rotWithShape="1">
              <a:gsLst>
                <a:gs pos="0">
                  <a:srgbClr val="FFCC00">
                    <a:shade val="30000"/>
                    <a:satMod val="115000"/>
                  </a:srgbClr>
                </a:gs>
                <a:gs pos="50000">
                  <a:srgbClr val="FFCC00">
                    <a:shade val="67500"/>
                    <a:satMod val="115000"/>
                  </a:srgbClr>
                </a:gs>
                <a:gs pos="100000">
                  <a:srgbClr val="FFCC00">
                    <a:shade val="100000"/>
                    <a:satMod val="115000"/>
                  </a:srgbClr>
                </a:gs>
              </a:gsLst>
              <a:lin ang="16200000" scaled="1"/>
              <a:tileRect/>
            </a:gra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Лист1!$F$3:$N$3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Лист1!$F$5:$N$5</c:f>
              <c:numCache>
                <c:formatCode>General</c:formatCode>
                <c:ptCount val="7"/>
                <c:pt idx="0">
                  <c:v>8.4</c:v>
                </c:pt>
                <c:pt idx="1">
                  <c:v>10</c:v>
                </c:pt>
                <c:pt idx="2">
                  <c:v>26</c:v>
                </c:pt>
                <c:pt idx="3">
                  <c:v>77.8</c:v>
                </c:pt>
                <c:pt idx="4">
                  <c:v>116</c:v>
                </c:pt>
                <c:pt idx="5">
                  <c:v>33.1</c:v>
                </c:pt>
                <c:pt idx="6">
                  <c:v>33.700000000000003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4"/>
        <c:axId val="248611416"/>
        <c:axId val="248611808"/>
      </c:barChart>
      <c:catAx>
        <c:axId val="248611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8611808"/>
        <c:crosses val="autoZero"/>
        <c:auto val="1"/>
        <c:lblAlgn val="ctr"/>
        <c:lblOffset val="100"/>
        <c:noMultiLvlLbl val="0"/>
      </c:catAx>
      <c:valAx>
        <c:axId val="2486118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8611416"/>
        <c:crosses val="autoZero"/>
        <c:crossBetween val="between"/>
      </c:valAx>
      <c:spPr>
        <a:effectLst>
          <a:glow rad="139700">
            <a:schemeClr val="accent3">
              <a:satMod val="175000"/>
              <a:alpha val="40000"/>
            </a:schemeClr>
          </a:glow>
        </a:effectLst>
      </c:spPr>
    </c:plotArea>
    <c:legend>
      <c:legendPos val="b"/>
      <c:legendEntry>
        <c:idx val="0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ayout>
        <c:manualLayout>
          <c:xMode val="edge"/>
          <c:yMode val="edge"/>
          <c:x val="7.2517762162331814E-2"/>
          <c:y val="0.91106408371781622"/>
          <c:w val="0.85496447567533662"/>
          <c:h val="7.2269492191479781E-2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>
      <a:innerShdw blurRad="114300">
        <a:prstClr val="black"/>
      </a:inn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100" dirty="0" smtClean="0"/>
              <a:t>Производство основных видов сельскохозяйственной продукции во всех хозяйствах</a:t>
            </a:r>
            <a:endParaRPr lang="ru-RU" sz="1100" dirty="0"/>
          </a:p>
        </c:rich>
      </c:tx>
      <c:layout/>
      <c:overlay val="0"/>
    </c:title>
    <c:autoTitleDeleted val="0"/>
    <c:view3D>
      <c:rotX val="10"/>
      <c:rotY val="20"/>
      <c:depthPercent val="13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572388715876001E-2"/>
          <c:y val="9.0675086061217047E-2"/>
          <c:w val="0.96685522256825163"/>
          <c:h val="0.7337332573418248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мясо, тн</c:v>
                </c:pt>
              </c:strCache>
            </c:strRef>
          </c:tx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noFill/>
              <a:ln>
                <a:noFill/>
              </a:ln>
            </c:spPr>
            <c:txPr>
              <a:bodyPr rot="660000" vert="horz" anchor="t" anchorCtr="1"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2010г</c:v>
                </c:pt>
                <c:pt idx="1">
                  <c:v>2011г</c:v>
                </c:pt>
                <c:pt idx="2">
                  <c:v>2012г</c:v>
                </c:pt>
                <c:pt idx="3">
                  <c:v>2013г</c:v>
                </c:pt>
                <c:pt idx="4">
                  <c:v>2014г</c:v>
                </c:pt>
                <c:pt idx="5">
                  <c:v>2015г</c:v>
                </c:pt>
                <c:pt idx="6">
                  <c:v>2016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36.200000000000003</c:v>
                </c:pt>
                <c:pt idx="1">
                  <c:v>46</c:v>
                </c:pt>
                <c:pt idx="2">
                  <c:v>49</c:v>
                </c:pt>
                <c:pt idx="3">
                  <c:v>41</c:v>
                </c:pt>
                <c:pt idx="4">
                  <c:v>41.4</c:v>
                </c:pt>
                <c:pt idx="5">
                  <c:v>45.4</c:v>
                </c:pt>
                <c:pt idx="6">
                  <c:v>69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молоко, тн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92D050"/>
              </a:solidFill>
            </a:ln>
            <a:effectLst/>
            <a:scene3d>
              <a:camera prst="orthographicFront"/>
              <a:lightRig rig="threePt" dir="t"/>
            </a:scene3d>
            <a:sp3d>
              <a:bevelT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</c:spPr>
            <c:txPr>
              <a:bodyPr rot="480000" vert="horz" anchor="ctr" anchorCtr="0"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2010г</c:v>
                </c:pt>
                <c:pt idx="1">
                  <c:v>2011г</c:v>
                </c:pt>
                <c:pt idx="2">
                  <c:v>2012г</c:v>
                </c:pt>
                <c:pt idx="3">
                  <c:v>2013г</c:v>
                </c:pt>
                <c:pt idx="4">
                  <c:v>2014г</c:v>
                </c:pt>
                <c:pt idx="5">
                  <c:v>2015г</c:v>
                </c:pt>
                <c:pt idx="6">
                  <c:v>2016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112.9</c:v>
                </c:pt>
                <c:pt idx="1">
                  <c:v>123</c:v>
                </c:pt>
                <c:pt idx="2">
                  <c:v>64.599999999999994</c:v>
                </c:pt>
                <c:pt idx="3">
                  <c:v>60.4</c:v>
                </c:pt>
                <c:pt idx="4">
                  <c:v>66.5</c:v>
                </c:pt>
                <c:pt idx="5">
                  <c:v>69.7</c:v>
                </c:pt>
                <c:pt idx="6">
                  <c:v>71.2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овощи, тн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</c:spPr>
            <c:txPr>
              <a:bodyPr rot="720000" anchor="t" anchorCtr="0"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2010г</c:v>
                </c:pt>
                <c:pt idx="1">
                  <c:v>2011г</c:v>
                </c:pt>
                <c:pt idx="2">
                  <c:v>2012г</c:v>
                </c:pt>
                <c:pt idx="3">
                  <c:v>2013г</c:v>
                </c:pt>
                <c:pt idx="4">
                  <c:v>2014г</c:v>
                </c:pt>
                <c:pt idx="5">
                  <c:v>2015г</c:v>
                </c:pt>
                <c:pt idx="6">
                  <c:v>2016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116</c:v>
                </c:pt>
                <c:pt idx="1">
                  <c:v>112</c:v>
                </c:pt>
                <c:pt idx="2">
                  <c:v>125.3</c:v>
                </c:pt>
                <c:pt idx="3">
                  <c:v>115</c:v>
                </c:pt>
                <c:pt idx="4">
                  <c:v>116</c:v>
                </c:pt>
                <c:pt idx="5">
                  <c:v>117</c:v>
                </c:pt>
                <c:pt idx="6">
                  <c:v>117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яйцо, тыс. шт.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960000" anchor="b" anchorCtr="1"/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2010г</c:v>
                </c:pt>
                <c:pt idx="1">
                  <c:v>2011г</c:v>
                </c:pt>
                <c:pt idx="2">
                  <c:v>2012г</c:v>
                </c:pt>
                <c:pt idx="3">
                  <c:v>2013г</c:v>
                </c:pt>
                <c:pt idx="4">
                  <c:v>2014г</c:v>
                </c:pt>
                <c:pt idx="5">
                  <c:v>2015г</c:v>
                </c:pt>
                <c:pt idx="6">
                  <c:v>2016</c:v>
                </c:pt>
              </c:strCache>
            </c:str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847.8</c:v>
                </c:pt>
                <c:pt idx="1">
                  <c:v>893</c:v>
                </c:pt>
                <c:pt idx="2">
                  <c:v>814.5</c:v>
                </c:pt>
                <c:pt idx="3">
                  <c:v>666</c:v>
                </c:pt>
                <c:pt idx="4">
                  <c:v>719</c:v>
                </c:pt>
                <c:pt idx="5">
                  <c:v>724</c:v>
                </c:pt>
                <c:pt idx="6">
                  <c:v>755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картофель, тн</c:v>
                </c:pt>
              </c:strCache>
            </c:strRef>
          </c:tx>
          <c:spPr>
            <a:solidFill>
              <a:srgbClr val="CB672F"/>
            </a:solidFill>
            <a:scene3d>
              <a:camera prst="orthographicFront"/>
              <a:lightRig rig="threePt" dir="t"/>
            </a:scene3d>
            <a:sp3d>
              <a:bevelT/>
              <a:bevelB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Лист1!$A$2:$A$8</c:f>
              <c:strCache>
                <c:ptCount val="7"/>
                <c:pt idx="0">
                  <c:v>2010г</c:v>
                </c:pt>
                <c:pt idx="1">
                  <c:v>2011г</c:v>
                </c:pt>
                <c:pt idx="2">
                  <c:v>2012г</c:v>
                </c:pt>
                <c:pt idx="3">
                  <c:v>2013г</c:v>
                </c:pt>
                <c:pt idx="4">
                  <c:v>2014г</c:v>
                </c:pt>
                <c:pt idx="5">
                  <c:v>2015г</c:v>
                </c:pt>
                <c:pt idx="6">
                  <c:v>2016</c:v>
                </c:pt>
              </c:strCache>
            </c:str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1141</c:v>
                </c:pt>
                <c:pt idx="1">
                  <c:v>1078</c:v>
                </c:pt>
                <c:pt idx="2">
                  <c:v>1166.5999999999999</c:v>
                </c:pt>
                <c:pt idx="3">
                  <c:v>1133</c:v>
                </c:pt>
                <c:pt idx="4">
                  <c:v>1910</c:v>
                </c:pt>
                <c:pt idx="5">
                  <c:v>1400</c:v>
                </c:pt>
                <c:pt idx="6">
                  <c:v>1400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gapDepth val="465"/>
        <c:shape val="box"/>
        <c:axId val="248612592"/>
        <c:axId val="248612984"/>
        <c:axId val="248875864"/>
      </c:bar3DChart>
      <c:catAx>
        <c:axId val="248612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aseline="0"/>
            </a:pPr>
            <a:endParaRPr lang="ru-RU"/>
          </a:p>
        </c:txPr>
        <c:crossAx val="248612984"/>
        <c:crosses val="autoZero"/>
        <c:auto val="1"/>
        <c:lblAlgn val="ctr"/>
        <c:lblOffset val="100"/>
        <c:noMultiLvlLbl val="0"/>
      </c:catAx>
      <c:valAx>
        <c:axId val="2486129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8612592"/>
        <c:crosses val="autoZero"/>
        <c:crossBetween val="between"/>
      </c:valAx>
      <c:serAx>
        <c:axId val="248875864"/>
        <c:scaling>
          <c:orientation val="minMax"/>
        </c:scaling>
        <c:delete val="1"/>
        <c:axPos val="b"/>
        <c:majorTickMark val="out"/>
        <c:minorTickMark val="none"/>
        <c:tickLblPos val="none"/>
        <c:crossAx val="248612984"/>
        <c:crosses val="autoZero"/>
      </c:serAx>
    </c:plotArea>
    <c:legend>
      <c:legendPos val="b"/>
      <c:layout/>
      <c:overlay val="0"/>
      <c:txPr>
        <a:bodyPr/>
        <a:lstStyle/>
        <a:p>
          <a:pPr>
            <a:defRPr sz="1300" baseline="0"/>
          </a:pPr>
          <a:endParaRPr lang="ru-RU"/>
        </a:p>
      </c:txPr>
    </c:legend>
    <c:plotVisOnly val="1"/>
    <c:dispBlanksAs val="gap"/>
    <c:showDLblsOverMax val="0"/>
  </c:chart>
  <c:spPr>
    <a:scene3d>
      <a:camera prst="orthographicFront"/>
      <a:lightRig rig="threePt" dir="t"/>
    </a:scene3d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407599309153714"/>
          <c:y val="0.24725274725274726"/>
          <c:w val="0.40587219343696029"/>
          <c:h val="0.5164835164835165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Sheet1!$B$1:$I$1</c:f>
              <c:strCache>
                <c:ptCount val="8"/>
                <c:pt idx="0">
                  <c:v>розничная торговля (88)</c:v>
                </c:pt>
                <c:pt idx="1">
                  <c:v>розничный рынок (1)</c:v>
                </c:pt>
                <c:pt idx="2">
                  <c:v>киоски и павильоны (12)</c:v>
                </c:pt>
                <c:pt idx="3">
                  <c:v>оптовая торговля (2)</c:v>
                </c:pt>
                <c:pt idx="4">
                  <c:v>общественное питание (14)</c:v>
                </c:pt>
                <c:pt idx="5">
                  <c:v>пищевая промыш-сть (5)</c:v>
                </c:pt>
                <c:pt idx="6">
                  <c:v>гостиничное хозяйство (5)</c:v>
                </c:pt>
                <c:pt idx="7">
                  <c:v>бытовые услуги (52)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88</c:v>
                </c:pt>
                <c:pt idx="1">
                  <c:v>1</c:v>
                </c:pt>
                <c:pt idx="2">
                  <c:v>12</c:v>
                </c:pt>
                <c:pt idx="3">
                  <c:v>2</c:v>
                </c:pt>
                <c:pt idx="4">
                  <c:v>14</c:v>
                </c:pt>
                <c:pt idx="5">
                  <c:v>5</c:v>
                </c:pt>
                <c:pt idx="6">
                  <c:v>5</c:v>
                </c:pt>
                <c:pt idx="7">
                  <c:v>52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Sheet1!$B$1:$I$1</c:f>
              <c:strCache>
                <c:ptCount val="8"/>
                <c:pt idx="0">
                  <c:v>розничная торговля (88)</c:v>
                </c:pt>
                <c:pt idx="1">
                  <c:v>розничный рынок (1)</c:v>
                </c:pt>
                <c:pt idx="2">
                  <c:v>киоски и павильоны (12)</c:v>
                </c:pt>
                <c:pt idx="3">
                  <c:v>оптовая торговля (2)</c:v>
                </c:pt>
                <c:pt idx="4">
                  <c:v>общественное питание (14)</c:v>
                </c:pt>
                <c:pt idx="5">
                  <c:v>пищевая промыш-сть (5)</c:v>
                </c:pt>
                <c:pt idx="6">
                  <c:v>гостиничное хозяйство (5)</c:v>
                </c:pt>
                <c:pt idx="7">
                  <c:v>бытовые услуги (52)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Sheet1!$B$1:$I$1</c:f>
              <c:strCache>
                <c:ptCount val="8"/>
                <c:pt idx="0">
                  <c:v>розничная торговля (88)</c:v>
                </c:pt>
                <c:pt idx="1">
                  <c:v>розничный рынок (1)</c:v>
                </c:pt>
                <c:pt idx="2">
                  <c:v>киоски и павильоны (12)</c:v>
                </c:pt>
                <c:pt idx="3">
                  <c:v>оптовая торговля (2)</c:v>
                </c:pt>
                <c:pt idx="4">
                  <c:v>общественное питание (14)</c:v>
                </c:pt>
                <c:pt idx="5">
                  <c:v>пищевая промыш-сть (5)</c:v>
                </c:pt>
                <c:pt idx="6">
                  <c:v>гостиничное хозяйство (5)</c:v>
                </c:pt>
                <c:pt idx="7">
                  <c:v>бытовые услуги (52)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62536547108181939"/>
          <c:y val="0"/>
          <c:w val="0.37463452891818066"/>
          <c:h val="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131147540983612E-2"/>
          <c:y val="0.10300429184549356"/>
          <c:w val="0.59672131147540985"/>
          <c:h val="0.729613733905579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торговая площадь, занятая под продовольственную группу товаров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пгт. Ноглики</c:v>
                </c:pt>
                <c:pt idx="1">
                  <c:v>с. Катангли</c:v>
                </c:pt>
                <c:pt idx="2">
                  <c:v>с. Вал</c:v>
                </c:pt>
                <c:pt idx="3">
                  <c:v>с. Ныш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222</c:v>
                </c:pt>
                <c:pt idx="1">
                  <c:v>383</c:v>
                </c:pt>
                <c:pt idx="2">
                  <c:v>107</c:v>
                </c:pt>
                <c:pt idx="3">
                  <c:v>188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торговая площадь, занятая под промышленную группу товаров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пгт. Ноглики</c:v>
                </c:pt>
                <c:pt idx="1">
                  <c:v>с. Катангли</c:v>
                </c:pt>
                <c:pt idx="2">
                  <c:v>с. Вал</c:v>
                </c:pt>
                <c:pt idx="3">
                  <c:v>с. Ныш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372</c:v>
                </c:pt>
                <c:pt idx="1">
                  <c:v>0</c:v>
                </c:pt>
                <c:pt idx="2">
                  <c:v>16</c:v>
                </c:pt>
                <c:pt idx="3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торговая площадь, занятая под смешанную группу товаров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пгт. Ноглики</c:v>
                </c:pt>
                <c:pt idx="1">
                  <c:v>с. Катангли</c:v>
                </c:pt>
                <c:pt idx="2">
                  <c:v>с. Вал</c:v>
                </c:pt>
                <c:pt idx="3">
                  <c:v>с. Ныш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15</c:v>
                </c:pt>
                <c:pt idx="1">
                  <c:v>0</c:v>
                </c:pt>
                <c:pt idx="2">
                  <c:v>362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49171048"/>
        <c:axId val="249171440"/>
      </c:barChart>
      <c:catAx>
        <c:axId val="249171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917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91714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49171048"/>
        <c:crosses val="autoZero"/>
        <c:crossBetween val="between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41"/>
            </a:gs>
            <a:gs pos="100000">
              <a:srgbClr xmlns:mc="http://schemas.openxmlformats.org/markup-compatibility/2006" xmlns:a14="http://schemas.microsoft.com/office/drawing/2010/main" val="000000" mc:Ignorable="a14" a14:legacySpreadsheetColorIndex="41">
                <a:gamma/>
                <a:shade val="46275"/>
                <a:invGamma/>
              </a:srgbClr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959915638564498"/>
          <c:y val="6.7856949980017942E-2"/>
          <c:w val="0.27384347487964972"/>
          <c:h val="0.8297333203719906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Оборот розничной торговли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1.7460195254226443E-2"/>
          <c:y val="0.10696221432104309"/>
          <c:w val="0.98253980474577352"/>
          <c:h val="0.731315732989912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оборот розничного товарооборота, млрд. руб</c:v>
                </c:pt>
              </c:strCache>
            </c:strRef>
          </c:tx>
          <c:spPr>
            <a:solidFill>
              <a:srgbClr val="CC0066"/>
            </a:solidFill>
            <a:ln w="19050">
              <a:solidFill>
                <a:schemeClr val="bg2">
                  <a:lumMod val="25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Лист1!$F$5:$N$5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Лист1!$F$6:$N$6</c:f>
              <c:numCache>
                <c:formatCode>General</c:formatCode>
                <c:ptCount val="9"/>
                <c:pt idx="0">
                  <c:v>1.8</c:v>
                </c:pt>
                <c:pt idx="1">
                  <c:v>1.9</c:v>
                </c:pt>
                <c:pt idx="2">
                  <c:v>2.2000000000000002</c:v>
                </c:pt>
                <c:pt idx="3">
                  <c:v>2.4500000000000002</c:v>
                </c:pt>
                <c:pt idx="4">
                  <c:v>2.6</c:v>
                </c:pt>
                <c:pt idx="5">
                  <c:v>2.8</c:v>
                </c:pt>
                <c:pt idx="6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172224"/>
        <c:axId val="249172616"/>
      </c:barChart>
      <c:lineChart>
        <c:grouping val="standard"/>
        <c:varyColors val="0"/>
        <c:ser>
          <c:idx val="1"/>
          <c:order val="1"/>
          <c:tx>
            <c:strRef>
              <c:f>Лист1!$E$7</c:f>
              <c:strCache>
                <c:ptCount val="1"/>
                <c:pt idx="0">
                  <c:v>индекс физического объема,%</c:v>
                </c:pt>
              </c:strCache>
            </c:strRef>
          </c:tx>
          <c:marker>
            <c:spPr>
              <a:solidFill>
                <a:srgbClr val="1B2DD5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Лист1!$F$5:$N$5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Лист1!$F$7:$N$7</c:f>
              <c:numCache>
                <c:formatCode>General</c:formatCode>
                <c:ptCount val="9"/>
                <c:pt idx="0">
                  <c:v>100.4</c:v>
                </c:pt>
                <c:pt idx="1">
                  <c:v>99.9</c:v>
                </c:pt>
                <c:pt idx="2">
                  <c:v>99.8</c:v>
                </c:pt>
                <c:pt idx="3">
                  <c:v>100.3</c:v>
                </c:pt>
                <c:pt idx="4">
                  <c:v>100.5</c:v>
                </c:pt>
                <c:pt idx="5">
                  <c:v>108.4</c:v>
                </c:pt>
                <c:pt idx="6">
                  <c:v>97.3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172224"/>
        <c:axId val="249172616"/>
      </c:lineChart>
      <c:catAx>
        <c:axId val="249172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9172616"/>
        <c:crosses val="autoZero"/>
        <c:auto val="1"/>
        <c:lblAlgn val="ctr"/>
        <c:lblOffset val="100"/>
        <c:noMultiLvlLbl val="0"/>
      </c:catAx>
      <c:valAx>
        <c:axId val="2491726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9172224"/>
        <c:crosses val="autoZero"/>
        <c:crossBetween val="between"/>
      </c:valAx>
      <c:spPr>
        <a:solidFill>
          <a:srgbClr val="FFFF99"/>
        </a:solidFill>
      </c:spPr>
    </c:plotArea>
    <c:legend>
      <c:legendPos val="r"/>
      <c:layout>
        <c:manualLayout>
          <c:xMode val="edge"/>
          <c:yMode val="edge"/>
          <c:x val="0.66018485559906326"/>
          <c:y val="0.35014488087572448"/>
          <c:w val="0.30330746341483128"/>
          <c:h val="0.31778418582080736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>
      <a:innerShdw blurRad="114300">
        <a:prstClr val="black"/>
      </a:inn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 dirty="0"/>
              <a:t>Оборот </a:t>
            </a:r>
            <a:r>
              <a:rPr lang="ru-RU" sz="1400" dirty="0" smtClean="0"/>
              <a:t> общественного питания</a:t>
            </a:r>
            <a:endParaRPr lang="ru-RU" sz="1400" dirty="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1.4285614298912544E-2"/>
          <c:y val="0.11288809877096223"/>
          <c:w val="0.85714385701087914"/>
          <c:h val="0.731315732989912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Лист1!$E$6</c:f>
              <c:strCache>
                <c:ptCount val="1"/>
                <c:pt idx="0">
                  <c:v>оборот общественного питания, млн. руб</c:v>
                </c:pt>
              </c:strCache>
            </c:strRef>
          </c:tx>
          <c:spPr>
            <a:solidFill>
              <a:srgbClr val="00CC99"/>
            </a:solidFill>
            <a:ln w="19050">
              <a:solidFill>
                <a:schemeClr val="bg2">
                  <a:lumMod val="25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Лист1!$F$5:$N$5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Лист1!$F$6:$N$6</c:f>
              <c:numCache>
                <c:formatCode>General</c:formatCode>
                <c:ptCount val="9"/>
                <c:pt idx="0">
                  <c:v>662.6</c:v>
                </c:pt>
                <c:pt idx="1">
                  <c:v>648.5</c:v>
                </c:pt>
                <c:pt idx="2">
                  <c:v>766</c:v>
                </c:pt>
                <c:pt idx="3">
                  <c:v>725.6</c:v>
                </c:pt>
                <c:pt idx="4">
                  <c:v>934.4</c:v>
                </c:pt>
                <c:pt idx="5">
                  <c:v>1013</c:v>
                </c:pt>
                <c:pt idx="6">
                  <c:v>1239.9000000000001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173400"/>
        <c:axId val="249173792"/>
      </c:barChart>
      <c:lineChart>
        <c:grouping val="standard"/>
        <c:varyColors val="0"/>
        <c:ser>
          <c:idx val="1"/>
          <c:order val="1"/>
          <c:tx>
            <c:strRef>
              <c:f>Лист1!$E$7</c:f>
              <c:strCache>
                <c:ptCount val="1"/>
                <c:pt idx="0">
                  <c:v>индекс физического объема,%</c:v>
                </c:pt>
              </c:strCache>
            </c:strRef>
          </c:tx>
          <c:marker>
            <c:spPr>
              <a:solidFill>
                <a:srgbClr val="AC146E"/>
              </a:solidFill>
            </c:spPr>
          </c:marker>
          <c:dPt>
            <c:idx val="4"/>
            <c:marker>
              <c:spPr>
                <a:solidFill>
                  <a:srgbClr val="AC146E"/>
                </a:solidFill>
                <a:ln>
                  <a:solidFill>
                    <a:srgbClr val="002060"/>
                  </a:solidFill>
                </a:ln>
              </c:spPr>
            </c:marker>
            <c:bubble3D val="0"/>
            <c:spPr>
              <a:ln>
                <a:solidFill>
                  <a:srgbClr val="002060"/>
                </a:solidFill>
              </a:ln>
            </c:spPr>
          </c:dPt>
          <c:dLbls>
            <c:spPr>
              <a:solidFill>
                <a:srgbClr val="FFFF66"/>
              </a:solidFill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Лист1!$F$5:$N$5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Лист1!$F$7:$N$7</c:f>
              <c:numCache>
                <c:formatCode>General</c:formatCode>
                <c:ptCount val="9"/>
                <c:pt idx="0">
                  <c:v>81.2</c:v>
                </c:pt>
                <c:pt idx="1">
                  <c:v>92.3</c:v>
                </c:pt>
                <c:pt idx="2">
                  <c:v>111.5</c:v>
                </c:pt>
                <c:pt idx="3">
                  <c:v>88.8</c:v>
                </c:pt>
                <c:pt idx="4">
                  <c:v>123.5</c:v>
                </c:pt>
                <c:pt idx="5">
                  <c:v>108.4</c:v>
                </c:pt>
                <c:pt idx="6">
                  <c:v>113.7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173400"/>
        <c:axId val="249173792"/>
      </c:lineChart>
      <c:catAx>
        <c:axId val="249173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9173792"/>
        <c:crosses val="autoZero"/>
        <c:auto val="1"/>
        <c:lblAlgn val="ctr"/>
        <c:lblOffset val="100"/>
        <c:noMultiLvlLbl val="0"/>
      </c:catAx>
      <c:valAx>
        <c:axId val="249173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917340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7149867130779991"/>
          <c:y val="0.3307102794912109"/>
          <c:w val="0.28351786392801448"/>
          <c:h val="0.33166605163792939"/>
        </c:manualLayout>
      </c:layout>
      <c:overlay val="0"/>
      <c:txPr>
        <a:bodyPr/>
        <a:lstStyle/>
        <a:p>
          <a:pPr>
            <a:defRPr sz="1200" baseline="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>
      <a:innerShdw blurRad="114300">
        <a:prstClr val="black"/>
      </a:inn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244732576985418E-2"/>
          <c:y val="0.39444444444444443"/>
          <c:w val="0.48298217179902753"/>
          <c:h val="0.3305555555555555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Объекты бытового обслуживани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1"/>
            <c:bubble3D val="0"/>
            <c:spPr>
              <a:solidFill>
                <a:srgbClr val="00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Sheet1!$B$1:$N$1</c:f>
              <c:strCache>
                <c:ptCount val="12"/>
                <c:pt idx="0">
                  <c:v>Услуги по ремонту и пошиву обуви (2)</c:v>
                </c:pt>
                <c:pt idx="1">
                  <c:v>Ремонт и пошив швейных изд-й (5)</c:v>
                </c:pt>
                <c:pt idx="2">
                  <c:v>Услуги парикмахерских (10)</c:v>
                </c:pt>
                <c:pt idx="3">
                  <c:v>Фотоуслуги (1)</c:v>
                </c:pt>
                <c:pt idx="4">
                  <c:v>Прокат (3)</c:v>
                </c:pt>
                <c:pt idx="5">
                  <c:v>Услуги бань (4)</c:v>
                </c:pt>
                <c:pt idx="6">
                  <c:v>Прочие виды услуг (2)</c:v>
                </c:pt>
                <c:pt idx="7">
                  <c:v>Ремонт и строительство жилья (8)</c:v>
                </c:pt>
                <c:pt idx="8">
                  <c:v>Услуги ритуальные (2)</c:v>
                </c:pt>
                <c:pt idx="9">
                  <c:v>Техническое обслуживание и ремонт транспортных средств (10)</c:v>
                </c:pt>
                <c:pt idx="11">
                  <c:v>Ремонт и техобслуживание быт.аппаратуры (5)</c:v>
                </c:pt>
              </c:strCache>
            </c:strRef>
          </c:cat>
          <c:val>
            <c:numRef>
              <c:f>Sheet1!$B$2:$N$2</c:f>
              <c:numCache>
                <c:formatCode>General</c:formatCode>
                <c:ptCount val="12"/>
                <c:pt idx="0">
                  <c:v>2</c:v>
                </c:pt>
                <c:pt idx="1">
                  <c:v>5</c:v>
                </c:pt>
                <c:pt idx="2">
                  <c:v>10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2</c:v>
                </c:pt>
                <c:pt idx="7">
                  <c:v>8</c:v>
                </c:pt>
                <c:pt idx="8">
                  <c:v>2</c:v>
                </c:pt>
                <c:pt idx="9">
                  <c:v>10</c:v>
                </c:pt>
                <c:pt idx="10">
                  <c:v>7</c:v>
                </c:pt>
                <c:pt idx="11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1"/>
            <c:bubble3D val="0"/>
            <c:spPr>
              <a:solidFill>
                <a:srgbClr val="00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Sheet1!$B$1:$N$1</c:f>
              <c:strCache>
                <c:ptCount val="12"/>
                <c:pt idx="0">
                  <c:v>Услуги по ремонту и пошиву обуви (2)</c:v>
                </c:pt>
                <c:pt idx="1">
                  <c:v>Ремонт и пошив швейных изд-й (5)</c:v>
                </c:pt>
                <c:pt idx="2">
                  <c:v>Услуги парикмахерских (10)</c:v>
                </c:pt>
                <c:pt idx="3">
                  <c:v>Фотоуслуги (1)</c:v>
                </c:pt>
                <c:pt idx="4">
                  <c:v>Прокат (3)</c:v>
                </c:pt>
                <c:pt idx="5">
                  <c:v>Услуги бань (4)</c:v>
                </c:pt>
                <c:pt idx="6">
                  <c:v>Прочие виды услуг (2)</c:v>
                </c:pt>
                <c:pt idx="7">
                  <c:v>Ремонт и строительство жилья (8)</c:v>
                </c:pt>
                <c:pt idx="8">
                  <c:v>Услуги ритуальные (2)</c:v>
                </c:pt>
                <c:pt idx="9">
                  <c:v>Техническое обслуживание и ремонт транспортных средств (10)</c:v>
                </c:pt>
                <c:pt idx="11">
                  <c:v>Ремонт и техобслуживание быт.аппаратуры (5)</c:v>
                </c:pt>
              </c:strCache>
            </c:strRef>
          </c:cat>
          <c:val>
            <c:numRef>
              <c:f>Sheet1!$B$3:$N$3</c:f>
              <c:numCache>
                <c:formatCode>General</c:formatCode>
                <c:ptCount val="12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  <c:pt idx="3">
                  <c:v>31.6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9"/>
            <c:bubble3D val="0"/>
            <c:spPr>
              <a:solidFill>
                <a:srgbClr val="FF00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0"/>
            <c:bubble3D val="0"/>
            <c:spPr>
              <a:solidFill>
                <a:srgbClr val="FFFF00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1"/>
            <c:bubble3D val="0"/>
            <c:spPr>
              <a:solidFill>
                <a:srgbClr val="00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Sheet1!$B$1:$N$1</c:f>
              <c:strCache>
                <c:ptCount val="12"/>
                <c:pt idx="0">
                  <c:v>Услуги по ремонту и пошиву обуви (2)</c:v>
                </c:pt>
                <c:pt idx="1">
                  <c:v>Ремонт и пошив швейных изд-й (5)</c:v>
                </c:pt>
                <c:pt idx="2">
                  <c:v>Услуги парикмахерских (10)</c:v>
                </c:pt>
                <c:pt idx="3">
                  <c:v>Фотоуслуги (1)</c:v>
                </c:pt>
                <c:pt idx="4">
                  <c:v>Прокат (3)</c:v>
                </c:pt>
                <c:pt idx="5">
                  <c:v>Услуги бань (4)</c:v>
                </c:pt>
                <c:pt idx="6">
                  <c:v>Прочие виды услуг (2)</c:v>
                </c:pt>
                <c:pt idx="7">
                  <c:v>Ремонт и строительство жилья (8)</c:v>
                </c:pt>
                <c:pt idx="8">
                  <c:v>Услуги ритуальные (2)</c:v>
                </c:pt>
                <c:pt idx="9">
                  <c:v>Техническое обслуживание и ремонт транспортных средств (10)</c:v>
                </c:pt>
                <c:pt idx="11">
                  <c:v>Ремонт и техобслуживание быт.аппаратуры (5)</c:v>
                </c:pt>
              </c:strCache>
            </c:strRef>
          </c:cat>
          <c:val>
            <c:numRef>
              <c:f>Sheet1!$B$4:$N$4</c:f>
              <c:numCache>
                <c:formatCode>General</c:formatCode>
                <c:ptCount val="12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  <c:pt idx="3">
                  <c:v>43.9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9">
          <a:noFill/>
        </a:ln>
      </c:spPr>
    </c:plotArea>
    <c:legend>
      <c:legendPos val="r"/>
      <c:legendEntry>
        <c:idx val="10"/>
        <c:delete val="1"/>
      </c:legendEntry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blipFill dpi="0" rotWithShape="0">
      <a:blip xmlns:r="http://schemas.openxmlformats.org/officeDocument/2006/relationships" r:embed="rId1"/>
      <a:srcRect/>
      <a:tile tx="0" ty="0" sx="100000" sy="100000" flip="none" algn="tl"/>
    </a:blipFill>
    <a:ln>
      <a:noFill/>
    </a:ln>
  </c:spPr>
  <c:txPr>
    <a:bodyPr/>
    <a:lstStyle/>
    <a:p>
      <a:pPr>
        <a:defRPr sz="15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aseline="0"/>
            </a:pPr>
            <a:r>
              <a:rPr lang="ru-RU" sz="1400" baseline="0" dirty="0" smtClean="0"/>
              <a:t>Объём подрядных работ по виду деятельности «Строительство», млрд. руб.</a:t>
            </a:r>
            <a:endParaRPr lang="ru-RU" sz="1400" baseline="0" dirty="0"/>
          </a:p>
        </c:rich>
      </c:tx>
      <c:layout/>
      <c:overlay val="0"/>
    </c:title>
    <c:autoTitleDeleted val="0"/>
    <c:view3D>
      <c:rotX val="15"/>
      <c:rotY val="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187116600025353E-2"/>
          <c:y val="9.5769939013211541E-2"/>
          <c:w val="0.92302342525335068"/>
          <c:h val="0.822557164389784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подрядных работ, млрд. руб.</c:v>
                </c:pt>
              </c:strCache>
            </c:strRef>
          </c:tx>
          <c:spPr>
            <a:solidFill>
              <a:srgbClr val="7053D9"/>
            </a:solidFill>
            <a:effectLst>
              <a:innerShdw blurRad="63500" dist="50800" dir="54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Pt>
            <c:idx val="3"/>
            <c:invertIfNegative val="0"/>
            <c:bubble3D val="0"/>
            <c:spPr>
              <a:solidFill>
                <a:srgbClr val="7053D9"/>
              </a:solidFill>
              <a:effectLst>
                <a:innerShdw blurRad="63500" dist="50800" dir="5400000">
                  <a:prstClr val="black">
                    <a:alpha val="50000"/>
                  </a:prstClr>
                </a:innerShdw>
              </a:effectLst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spPr>
              <a:solidFill>
                <a:srgbClr val="438086">
                  <a:lumMod val="20000"/>
                  <a:lumOff val="80000"/>
                </a:srgbClr>
              </a:solidFill>
              <a:effectLst>
                <a:outerShdw blurRad="50800" dist="50800" dir="5400000" algn="ctr" rotWithShape="0">
                  <a:srgbClr val="000000"/>
                </a:outerShdw>
              </a:effectLst>
            </c:spPr>
            <c:txPr>
              <a:bodyPr rot="0" anchor="ctr" anchorCtr="0"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11.6</c:v>
                </c:pt>
                <c:pt idx="1">
                  <c:v>33.200000000000003</c:v>
                </c:pt>
                <c:pt idx="2">
                  <c:v>25.9</c:v>
                </c:pt>
                <c:pt idx="3">
                  <c:v>21.6</c:v>
                </c:pt>
                <c:pt idx="4">
                  <c:v>1.2</c:v>
                </c:pt>
                <c:pt idx="5">
                  <c:v>0.8</c:v>
                </c:pt>
                <c:pt idx="6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gapDepth val="19"/>
        <c:shape val="cylinder"/>
        <c:axId val="249174968"/>
        <c:axId val="249175360"/>
        <c:axId val="0"/>
      </c:bar3DChart>
      <c:catAx>
        <c:axId val="249174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249175360"/>
        <c:crosses val="autoZero"/>
        <c:auto val="1"/>
        <c:lblAlgn val="ctr"/>
        <c:lblOffset val="100"/>
        <c:noMultiLvlLbl val="0"/>
      </c:catAx>
      <c:valAx>
        <c:axId val="2491753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9174968"/>
        <c:crosses val="autoZero"/>
        <c:crossBetween val="between"/>
      </c:valAx>
    </c:plotArea>
    <c:plotVisOnly val="1"/>
    <c:dispBlanksAs val="gap"/>
    <c:showDLblsOverMax val="0"/>
  </c:chart>
  <c:spPr>
    <a:scene3d>
      <a:camera prst="orthographicFront"/>
      <a:lightRig rig="threePt" dir="t"/>
    </a:scene3d>
    <a:sp3d prstMaterial="flat"/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 baseline="0"/>
              <a:t>Ввод общей площади жилых домов (кв.метров)  </a:t>
            </a:r>
          </a:p>
        </c:rich>
      </c:tx>
      <c:layout>
        <c:manualLayout>
          <c:xMode val="edge"/>
          <c:yMode val="edge"/>
          <c:x val="0.12179487179487179"/>
          <c:y val="0"/>
        </c:manualLayout>
      </c:layout>
      <c:overlay val="0"/>
      <c:spPr>
        <a:noFill/>
        <a:ln w="31698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096153846153846"/>
          <c:y val="5.9322033898305086E-2"/>
          <c:w val="0.87019230769230771"/>
          <c:h val="0.7932203389830508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многоквартирные дома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3366FF" mc:Ignorable="a14" a14:legacySpreadsheetColorIndex="48"/>
                </a:gs>
                <a:gs pos="50000">
                  <a:srgbClr xmlns:mc="http://schemas.openxmlformats.org/markup-compatibility/2006" xmlns:a14="http://schemas.microsoft.com/office/drawing/2010/main" val="9999FF" mc:Ignorable="a14" a14:legacySpreadsheetColorIndex="24"/>
                </a:gs>
                <a:gs pos="100000">
                  <a:srgbClr xmlns:mc="http://schemas.openxmlformats.org/markup-compatibility/2006" xmlns:a14="http://schemas.microsoft.com/office/drawing/2010/main" val="3366FF" mc:Ignorable="a14" a14:legacySpreadsheetColorIndex="48"/>
                </a:gs>
              </a:gsLst>
              <a:lin ang="5400000" scaled="1"/>
            </a:gradFill>
            <a:ln w="15849">
              <a:solidFill>
                <a:srgbClr val="000000"/>
              </a:solidFill>
              <a:prstDash val="solid"/>
            </a:ln>
          </c:spPr>
          <c:invertIfNegative val="0"/>
          <c:dLbls>
            <c:delete val="1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2544.1</c:v>
                </c:pt>
                <c:pt idx="1">
                  <c:v>3426</c:v>
                </c:pt>
                <c:pt idx="2">
                  <c:v>4023</c:v>
                </c:pt>
                <c:pt idx="3">
                  <c:v>3794</c:v>
                </c:pt>
                <c:pt idx="4">
                  <c:v>2857.7</c:v>
                </c:pt>
                <c:pt idx="5">
                  <c:v>4946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индивидуальное жилищное строительство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FFFF" mc:Ignorable="a14" a14:legacySpreadsheetColorIndex="15"/>
                </a:gs>
                <a:gs pos="50000">
                  <a:srgbClr xmlns:mc="http://schemas.openxmlformats.org/markup-compatibility/2006" xmlns:a14="http://schemas.microsoft.com/office/drawing/2010/main" val="00CCFF" mc:Ignorable="a14" a14:legacySpreadsheetColorIndex="40"/>
                </a:gs>
                <a:gs pos="100000">
                  <a:srgbClr xmlns:mc="http://schemas.openxmlformats.org/markup-compatibility/2006" xmlns:a14="http://schemas.microsoft.com/office/drawing/2010/main" val="00FFFF" mc:Ignorable="a14" a14:legacySpreadsheetColorIndex="15"/>
                </a:gs>
              </a:gsLst>
              <a:lin ang="5400000" scaled="1"/>
            </a:gradFill>
            <a:ln w="15849">
              <a:solidFill>
                <a:srgbClr val="000000"/>
              </a:solidFill>
              <a:prstDash val="solid"/>
            </a:ln>
          </c:spPr>
          <c:invertIfNegative val="0"/>
          <c:dLbls>
            <c:delete val="1"/>
          </c:dLbls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2632.4</c:v>
                </c:pt>
                <c:pt idx="1">
                  <c:v>364</c:v>
                </c:pt>
                <c:pt idx="2">
                  <c:v>381</c:v>
                </c:pt>
                <c:pt idx="3">
                  <c:v>1182</c:v>
                </c:pt>
                <c:pt idx="4">
                  <c:v>1465</c:v>
                </c:pt>
                <c:pt idx="5">
                  <c:v>1867</c:v>
                </c:pt>
                <c:pt idx="6">
                  <c:v>989.4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49176144"/>
        <c:axId val="249176536"/>
      </c:barChart>
      <c:catAx>
        <c:axId val="249176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39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4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91765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9176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96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4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49176144"/>
        <c:crosses val="autoZero"/>
        <c:crossBetween val="between"/>
      </c:valAx>
      <c:spPr>
        <a:solidFill>
          <a:srgbClr val="FFFFFF"/>
        </a:solidFill>
        <a:ln w="31698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</c:legendEntry>
      <c:layout>
        <c:manualLayout>
          <c:xMode val="edge"/>
          <c:yMode val="edge"/>
          <c:x val="4.6474358974358976E-2"/>
          <c:y val="0.93520494839676771"/>
          <c:w val="0.91506410256410253"/>
          <c:h val="6.4795051603232304E-2"/>
        </c:manualLayout>
      </c:layout>
      <c:overlay val="0"/>
      <c:spPr>
        <a:solidFill>
          <a:srgbClr val="FFFFFF"/>
        </a:solidFill>
        <a:ln w="3962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FFFF99" mc:Ignorable="a14" a14:legacySpreadsheetColorIndex="43"/>
        </a:gs>
        <a:gs pos="100000">
          <a:srgbClr xmlns:mc="http://schemas.openxmlformats.org/markup-compatibility/2006" xmlns:a14="http://schemas.microsoft.com/office/drawing/2010/main" val="FFCC99" mc:Ignorable="a14" a14:legacySpreadsheetColorIndex="47"/>
        </a:gs>
      </a:gsLst>
      <a:path path="rect">
        <a:fillToRect l="50000" t="50000" r="50000" b="50000"/>
      </a:path>
    </a:gradFill>
    <a:ln>
      <a:noFill/>
    </a:ln>
  </c:spPr>
  <c:txPr>
    <a:bodyPr/>
    <a:lstStyle/>
    <a:p>
      <a:pPr>
        <a:defRPr sz="134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CFFCC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026058631921824E-2"/>
          <c:y val="2.8662420382165606E-2"/>
          <c:w val="0.92345276872964166"/>
          <c:h val="0.7388535031847133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население </c:v>
                </c:pt>
              </c:strCache>
            </c:strRef>
          </c:tx>
          <c:spPr>
            <a:solidFill>
              <a:srgbClr val="FF00FF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69.900000000000006</c:v>
                </c:pt>
                <c:pt idx="1">
                  <c:v>88.2</c:v>
                </c:pt>
                <c:pt idx="2">
                  <c:v>104.2</c:v>
                </c:pt>
                <c:pt idx="3">
                  <c:v>118.3</c:v>
                </c:pt>
                <c:pt idx="4">
                  <c:v>115.9</c:v>
                </c:pt>
                <c:pt idx="5">
                  <c:v>114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бюджетные организации</c:v>
                </c:pt>
              </c:strCache>
            </c:strRef>
          </c:tx>
          <c:spPr>
            <a:solidFill>
              <a:srgbClr val="00FF00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1.5</c:v>
                </c:pt>
                <c:pt idx="1">
                  <c:v>1.6</c:v>
                </c:pt>
                <c:pt idx="2">
                  <c:v>3.4</c:v>
                </c:pt>
                <c:pt idx="3">
                  <c:v>4.0999999999999996</c:v>
                </c:pt>
                <c:pt idx="4">
                  <c:v>5.6</c:v>
                </c:pt>
                <c:pt idx="5">
                  <c:v>7.9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прочие потребители</c:v>
                </c:pt>
              </c:strCache>
            </c:strRef>
          </c:tx>
          <c:spPr>
            <a:solidFill>
              <a:srgbClr val="FFFF00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Sheet1!$B$4:$G$4</c:f>
              <c:numCache>
                <c:formatCode>General</c:formatCode>
                <c:ptCount val="6"/>
                <c:pt idx="0">
                  <c:v>32.700000000000003</c:v>
                </c:pt>
                <c:pt idx="1">
                  <c:v>31.4</c:v>
                </c:pt>
                <c:pt idx="2">
                  <c:v>34.9</c:v>
                </c:pt>
                <c:pt idx="3">
                  <c:v>58.5</c:v>
                </c:pt>
                <c:pt idx="4">
                  <c:v>44.5</c:v>
                </c:pt>
                <c:pt idx="5">
                  <c:v>34.1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49177320"/>
        <c:axId val="249177712"/>
        <c:axId val="0"/>
      </c:bar3DChart>
      <c:catAx>
        <c:axId val="249177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5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9177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9177712"/>
        <c:scaling>
          <c:orientation val="minMax"/>
          <c:max val="250"/>
          <c:min val="0"/>
        </c:scaling>
        <c:delete val="0"/>
        <c:axPos val="l"/>
        <c:majorGridlines>
          <c:spPr>
            <a:ln w="39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9177320"/>
        <c:crosses val="autoZero"/>
        <c:crossBetween val="between"/>
        <c:majorUnit val="50"/>
        <c:minorUnit val="0.5"/>
      </c:valAx>
      <c:spPr>
        <a:noFill/>
        <a:ln w="31749">
          <a:noFill/>
        </a:ln>
      </c:spPr>
    </c:plotArea>
    <c:legend>
      <c:legendPos val="b"/>
      <c:layout>
        <c:manualLayout>
          <c:xMode val="edge"/>
          <c:yMode val="edge"/>
          <c:x val="6.6775244299674269E-2"/>
          <c:y val="0.90445859872611467"/>
          <c:w val="0.86644951140065152"/>
          <c:h val="8.598726114649681E-2"/>
        </c:manualLayout>
      </c:layout>
      <c:overlay val="0"/>
      <c:spPr>
        <a:noFill/>
        <a:ln w="3969">
          <a:solidFill>
            <a:srgbClr val="000000"/>
          </a:solidFill>
          <a:prstDash val="solid"/>
        </a:ln>
      </c:spPr>
      <c:txPr>
        <a:bodyPr/>
        <a:lstStyle/>
        <a:p>
          <a:pPr>
            <a:defRPr sz="137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CC" mc:Ignorable="a14" a14:legacySpreadsheetColorIndex="42"/>
            </a:gs>
            <a:gs pos="50000">
              <a:srgbClr xmlns:mc="http://schemas.openxmlformats.org/markup-compatibility/2006" xmlns:a14="http://schemas.microsoft.com/office/drawing/2010/main" val="C0C0C0" mc:Ignorable="a14" a14:legacySpreadsheetColorIndex="22"/>
            </a:gs>
            <a:gs pos="100000">
              <a:srgbClr xmlns:mc="http://schemas.openxmlformats.org/markup-compatibility/2006" xmlns:a14="http://schemas.microsoft.com/office/drawing/2010/main" val="CCFFCC" mc:Ignorable="a14" a14:legacySpreadsheetColorIndex="42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CC" mc:Ignorable="a14" a14:legacySpreadsheetColorIndex="42"/>
            </a:gs>
            <a:gs pos="50000">
              <a:srgbClr xmlns:mc="http://schemas.openxmlformats.org/markup-compatibility/2006" xmlns:a14="http://schemas.microsoft.com/office/drawing/2010/main" val="C0C0C0" mc:Ignorable="a14" a14:legacySpreadsheetColorIndex="22"/>
            </a:gs>
            <a:gs pos="100000">
              <a:srgbClr xmlns:mc="http://schemas.openxmlformats.org/markup-compatibility/2006" xmlns:a14="http://schemas.microsoft.com/office/drawing/2010/main" val="CCFFCC" mc:Ignorable="a14" a14:legacySpreadsheetColorIndex="42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619631901840496E-2"/>
          <c:y val="3.5856573705179286E-2"/>
          <c:w val="0.91104294478527603"/>
          <c:h val="0.6812749003984063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 визовом порядке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C0C0C0" mc:Ignorable="a14" a14:legacySpreadsheetColorIndex="22"/>
                </a:gs>
                <a:gs pos="50000">
                  <a:srgbClr xmlns:mc="http://schemas.openxmlformats.org/markup-compatibility/2006" xmlns:a14="http://schemas.microsoft.com/office/drawing/2010/main" val="CCCCFF" mc:Ignorable="a14" a14:legacySpreadsheetColorIndex="31"/>
                </a:gs>
                <a:gs pos="100000">
                  <a:srgbClr xmlns:mc="http://schemas.openxmlformats.org/markup-compatibility/2006" xmlns:a14="http://schemas.microsoft.com/office/drawing/2010/main" val="C0C0C0" mc:Ignorable="a14" a14:legacySpreadsheetColorIndex="22"/>
                </a:gs>
              </a:gsLst>
              <a:lin ang="5400000" scaled="1"/>
            </a:gra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6"/>
              <c:layout>
                <c:manualLayout>
                  <c:x val="-2.0646832547410732E-2"/>
                  <c:y val="2.8668720297858608E-3"/>
                </c:manualLayout>
              </c:layout>
              <c:spPr>
                <a:noFill/>
                <a:ln w="25399">
                  <a:noFill/>
                </a:ln>
              </c:spPr>
              <c:txPr>
                <a:bodyPr/>
                <a:lstStyle/>
                <a:p>
                  <a:pPr>
                    <a:defRPr sz="11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Sheet1!$B$2:$I$2</c:f>
              <c:numCache>
                <c:formatCode>General</c:formatCode>
                <c:ptCount val="8"/>
                <c:pt idx="0">
                  <c:v>6058</c:v>
                </c:pt>
                <c:pt idx="1">
                  <c:v>5438</c:v>
                </c:pt>
                <c:pt idx="2">
                  <c:v>5549</c:v>
                </c:pt>
                <c:pt idx="3">
                  <c:v>4379</c:v>
                </c:pt>
                <c:pt idx="4">
                  <c:v>2954</c:v>
                </c:pt>
                <c:pt idx="5">
                  <c:v>4367</c:v>
                </c:pt>
                <c:pt idx="6">
                  <c:v>3571</c:v>
                </c:pt>
                <c:pt idx="7">
                  <c:v>2556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безвизовом порядке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993366" mc:Ignorable="a14" a14:legacySpreadsheetColorIndex="25"/>
                </a:gs>
                <a:gs pos="50000">
                  <a:srgbClr xmlns:mc="http://schemas.openxmlformats.org/markup-compatibility/2006" xmlns:a14="http://schemas.microsoft.com/office/drawing/2010/main" val="FFFFFF" mc:Ignorable="a14" a14:legacySpreadsheetColorIndex="9"/>
                </a:gs>
                <a:gs pos="100000">
                  <a:srgbClr xmlns:mc="http://schemas.openxmlformats.org/markup-compatibility/2006" xmlns:a14="http://schemas.microsoft.com/office/drawing/2010/main" val="993366" mc:Ignorable="a14" a14:legacySpreadsheetColorIndex="25"/>
                </a:gs>
              </a:gsLst>
              <a:lin ang="5400000" scaled="1"/>
            </a:gradFill>
            <a:ln w="1269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Sheet1!$B$1:$I$1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Sheet1!$B$3:$I$3</c:f>
              <c:numCache>
                <c:formatCode>General</c:formatCode>
                <c:ptCount val="8"/>
                <c:pt idx="0">
                  <c:v>1127</c:v>
                </c:pt>
                <c:pt idx="1">
                  <c:v>1740</c:v>
                </c:pt>
                <c:pt idx="2">
                  <c:v>1705</c:v>
                </c:pt>
                <c:pt idx="3">
                  <c:v>2442</c:v>
                </c:pt>
                <c:pt idx="4">
                  <c:v>2617</c:v>
                </c:pt>
                <c:pt idx="5">
                  <c:v>2635</c:v>
                </c:pt>
                <c:pt idx="6">
                  <c:v>2119</c:v>
                </c:pt>
                <c:pt idx="7">
                  <c:v>2100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27332832"/>
        <c:axId val="227333224"/>
        <c:axId val="0"/>
      </c:bar3DChart>
      <c:catAx>
        <c:axId val="227332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3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73332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2832"/>
        <c:crosses val="autoZero"/>
        <c:crossBetween val="between"/>
      </c:valAx>
      <c:spPr>
        <a:noFill/>
        <a:ln w="25399">
          <a:noFill/>
        </a:ln>
      </c:spPr>
    </c:plotArea>
    <c:legend>
      <c:legendPos val="b"/>
      <c:layout>
        <c:manualLayout>
          <c:xMode val="edge"/>
          <c:yMode val="edge"/>
          <c:x val="0.22699386503067484"/>
          <c:y val="0.8844621513944223"/>
          <c:w val="0.54601226993865026"/>
          <c:h val="0.1035856573705179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450084602368863E-2"/>
          <c:y val="0.10476190476190476"/>
          <c:w val="0.57529610829103217"/>
          <c:h val="0.709523809523809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Общая сумма задолженности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9999FF" mc:Ignorable="a14" a14:legacySpreadsheetColorIndex="24"/>
                </a:gs>
                <a:gs pos="100000">
                  <a:srgbClr xmlns:mc="http://schemas.openxmlformats.org/markup-compatibility/2006" xmlns:a14="http://schemas.microsoft.com/office/drawing/2010/main" val="FFFF99" mc:Ignorable="a14" a14:legacySpreadsheetColorIndex="43"/>
                </a:gs>
              </a:gsLst>
              <a:lin ang="5400000" scaled="1"/>
            </a:gra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106.1</c:v>
                </c:pt>
                <c:pt idx="1">
                  <c:v>121.2</c:v>
                </c:pt>
                <c:pt idx="2">
                  <c:v>142.5</c:v>
                </c:pt>
                <c:pt idx="3">
                  <c:v>180.9</c:v>
                </c:pt>
                <c:pt idx="4">
                  <c:v>166</c:v>
                </c:pt>
                <c:pt idx="5">
                  <c:v>165.6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из нее просроченная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00FF" mc:Ignorable="a14" a14:legacySpreadsheetColorIndex="14"/>
                </a:gs>
                <a:gs pos="100000">
                  <a:srgbClr xmlns:mc="http://schemas.openxmlformats.org/markup-compatibility/2006" xmlns:a14="http://schemas.microsoft.com/office/drawing/2010/main" val="FF0000" mc:Ignorable="a14" a14:legacySpreadsheetColorIndex="10"/>
                </a:gs>
              </a:gsLst>
              <a:lin ang="5400000" scaled="1"/>
            </a:gra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Sheet1!$B$1:$G$1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  <c:pt idx="1">
                  <c:v>87</c:v>
                </c:pt>
                <c:pt idx="2">
                  <c:v>95.3</c:v>
                </c:pt>
                <c:pt idx="3">
                  <c:v>131.6</c:v>
                </c:pt>
                <c:pt idx="4">
                  <c:v>118.4</c:v>
                </c:pt>
                <c:pt idx="5">
                  <c:v>110.5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253024"/>
        <c:axId val="250253416"/>
      </c:barChart>
      <c:catAx>
        <c:axId val="250253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0253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50253416"/>
        <c:scaling>
          <c:orientation val="minMax"/>
        </c:scaling>
        <c:delete val="0"/>
        <c:axPos val="l"/>
        <c:majorGridlines>
          <c:spPr>
            <a:ln w="39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50253024"/>
        <c:crosses val="autoZero"/>
        <c:crossBetween val="between"/>
      </c:valAx>
      <c:spPr>
        <a:solidFill>
          <a:srgbClr val="FFFFFF"/>
        </a:solidFill>
        <a:ln w="158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881863560732117"/>
          <c:y val="0.20562777380100214"/>
          <c:w val="0.28441311724553564"/>
          <c:h val="0.69220758768790258"/>
        </c:manualLayout>
      </c:layout>
      <c:overlay val="0"/>
      <c:spPr>
        <a:noFill/>
        <a:ln w="3969">
          <a:solidFill>
            <a:srgbClr val="000000"/>
          </a:solidFill>
          <a:prstDash val="solid"/>
        </a:ln>
      </c:spPr>
      <c:txPr>
        <a:bodyPr/>
        <a:lstStyle/>
        <a:p>
          <a:pPr>
            <a:defRPr sz="1062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5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 baseline="0"/>
              <a:t>Объем средств освоенных в 2016 году
по источникам финансирования (в  %)</a:t>
            </a:r>
          </a:p>
        </c:rich>
      </c:tx>
      <c:layout>
        <c:manualLayout>
          <c:xMode val="edge"/>
          <c:yMode val="edge"/>
          <c:x val="0.19270833333333334"/>
          <c:y val="2.1917808219178082E-2"/>
        </c:manualLayout>
      </c:layout>
      <c:overlay val="0"/>
      <c:spPr>
        <a:noFill/>
        <a:ln w="31749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5"/>
          <c:y val="0.28493150684931506"/>
          <c:w val="0.76909722222222221"/>
          <c:h val="0.4821917808219178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5874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00FF00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00FF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00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00CCFF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7.0358238466571521E-2"/>
                  <c:y val="-1.3565596903126809E-2"/>
                </c:manualLayout>
              </c:layout>
              <c:numFmt formatCode="0.0%" sourceLinked="0"/>
              <c:spPr>
                <a:noFill/>
                <a:ln w="31749">
                  <a:noFill/>
                </a:ln>
              </c:spPr>
              <c:txPr>
                <a:bodyPr/>
                <a:lstStyle/>
                <a:p>
                  <a:pPr>
                    <a:defRPr sz="1281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9.7798278835247165E-3"/>
                  <c:y val="-0.28758838624623972"/>
                </c:manualLayout>
              </c:layout>
              <c:numFmt formatCode="0.0%" sourceLinked="0"/>
              <c:spPr>
                <a:noFill/>
                <a:ln w="31749">
                  <a:noFill/>
                </a:ln>
              </c:spPr>
              <c:txPr>
                <a:bodyPr/>
                <a:lstStyle/>
                <a:p>
                  <a:pPr>
                    <a:defRPr sz="1281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3743713120825825E-2"/>
                  <c:y val="-8.0126432963002925E-2"/>
                </c:manualLayout>
              </c:layout>
              <c:numFmt formatCode="0.0%" sourceLinked="0"/>
              <c:spPr>
                <a:noFill/>
                <a:ln w="31749">
                  <a:noFill/>
                </a:ln>
              </c:spPr>
              <c:txPr>
                <a:bodyPr/>
                <a:lstStyle/>
                <a:p>
                  <a:pPr>
                    <a:defRPr sz="1281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961228241380387E-2"/>
                  <c:y val="-1.6305322930524058E-2"/>
                </c:manualLayout>
              </c:layout>
              <c:numFmt formatCode="0.0%" sourceLinked="0"/>
              <c:spPr>
                <a:noFill/>
                <a:ln w="31749">
                  <a:noFill/>
                </a:ln>
              </c:spPr>
              <c:txPr>
                <a:bodyPr/>
                <a:lstStyle/>
                <a:p>
                  <a:pPr>
                    <a:defRPr sz="1281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 w="3174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8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федеральный бюджет</c:v>
                </c:pt>
                <c:pt idx="1">
                  <c:v>областной бюджет</c:v>
                </c:pt>
                <c:pt idx="2">
                  <c:v>местный бюджет</c:v>
                </c:pt>
                <c:pt idx="3">
                  <c:v>внебюджетные средства 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0.1</c:v>
                </c:pt>
                <c:pt idx="1">
                  <c:v>61.5</c:v>
                </c:pt>
                <c:pt idx="2">
                  <c:v>37.4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5874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3174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31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федеральный бюджет</c:v>
                </c:pt>
                <c:pt idx="1">
                  <c:v>областной бюджет</c:v>
                </c:pt>
                <c:pt idx="2">
                  <c:v>местный бюджет</c:v>
                </c:pt>
                <c:pt idx="3">
                  <c:v>внебюджетные средства 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5874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5874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3174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31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федеральный бюджет</c:v>
                </c:pt>
                <c:pt idx="1">
                  <c:v>областной бюджет</c:v>
                </c:pt>
                <c:pt idx="2">
                  <c:v>местный бюджет</c:v>
                </c:pt>
                <c:pt idx="3">
                  <c:v>внебюджетные средства 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solidFill>
          <a:srgbClr val="FFFFFF"/>
        </a:solidFill>
        <a:ln w="15874">
          <a:solidFill>
            <a:srgbClr val="FFFFFF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1.99932930019182E-2"/>
          <c:y val="0.86301369863013699"/>
          <c:w val="0.96108385089001869"/>
          <c:h val="0.13972602739726028"/>
        </c:manualLayout>
      </c:layout>
      <c:overlay val="0"/>
      <c:spPr>
        <a:noFill/>
        <a:ln w="3969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20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CFFCC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521367521367521E-2"/>
          <c:y val="2.5862068965517241E-2"/>
          <c:w val="0.90769230769230769"/>
          <c:h val="0.6465517241379310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федеральный бюджет</c:v>
                </c:pt>
              </c:strCache>
            </c:strRef>
          </c:tx>
          <c:spPr>
            <a:solidFill>
              <a:srgbClr val="FF00FF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Sheet1!$B$1:$C$1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Sheet1!$B$2:$C$2</c:f>
              <c:numCache>
                <c:formatCode>General</c:formatCode>
                <c:ptCount val="2"/>
                <c:pt idx="0">
                  <c:v>11.3</c:v>
                </c:pt>
                <c:pt idx="1">
                  <c:v>1.2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областной бюджет</c:v>
                </c:pt>
              </c:strCache>
            </c:strRef>
          </c:tx>
          <c:spPr>
            <a:solidFill>
              <a:srgbClr val="00FF00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Sheet1!$B$1:$C$1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Sheet1!$B$3:$C$3</c:f>
              <c:numCache>
                <c:formatCode>General</c:formatCode>
                <c:ptCount val="2"/>
                <c:pt idx="0">
                  <c:v>1189.4000000000001</c:v>
                </c:pt>
                <c:pt idx="1">
                  <c:v>770.6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местный бюджет</c:v>
                </c:pt>
              </c:strCache>
            </c:strRef>
          </c:tx>
          <c:spPr>
            <a:solidFill>
              <a:srgbClr val="FFFF00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Sheet1!$B$1:$C$1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Sheet1!$B$4:$C$4</c:f>
              <c:numCache>
                <c:formatCode>General</c:formatCode>
                <c:ptCount val="2"/>
                <c:pt idx="0">
                  <c:v>700.4</c:v>
                </c:pt>
                <c:pt idx="1">
                  <c:v>468.2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spPr>
            <a:solidFill>
              <a:srgbClr val="00CCFF"/>
            </a:soli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Sheet1!$B$1:$C$1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Sheet1!$B$5:$C$5</c:f>
              <c:numCache>
                <c:formatCode>General</c:formatCode>
                <c:ptCount val="2"/>
                <c:pt idx="0">
                  <c:v>26.2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344743840"/>
        <c:axId val="344744232"/>
        <c:axId val="0"/>
      </c:bar3DChart>
      <c:catAx>
        <c:axId val="34474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90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4474423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4744232"/>
        <c:scaling>
          <c:orientation val="minMax"/>
          <c:max val="2000"/>
          <c:min val="0"/>
        </c:scaling>
        <c:delete val="0"/>
        <c:axPos val="l"/>
        <c:majorGridlines>
          <c:spPr>
            <a:ln w="39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4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44743840"/>
        <c:crosses val="autoZero"/>
        <c:crossBetween val="between"/>
        <c:majorUnit val="250"/>
        <c:minorUnit val="20"/>
      </c:valAx>
      <c:spPr>
        <a:noFill/>
        <a:ln w="31749">
          <a:noFill/>
        </a:ln>
      </c:spPr>
    </c:plotArea>
    <c:legend>
      <c:legendPos val="b"/>
      <c:layout>
        <c:manualLayout>
          <c:xMode val="edge"/>
          <c:yMode val="edge"/>
          <c:x val="0"/>
          <c:y val="0.81609195402298851"/>
          <c:w val="1"/>
          <c:h val="0.17528735632183909"/>
        </c:manualLayout>
      </c:layout>
      <c:overlay val="0"/>
      <c:spPr>
        <a:noFill/>
        <a:ln w="3969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90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dirty="0" smtClean="0"/>
              <a:t>Численность детей, посещающих образовательные учреждения, чел. </a:t>
            </a:r>
            <a:endParaRPr lang="ru-RU" sz="1400" dirty="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1077802468736779E-2"/>
          <c:y val="0.1382228101446164"/>
          <c:w val="0.92302342525335068"/>
          <c:h val="0.68181733344531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 школ</c:v>
                </c:pt>
              </c:strCache>
            </c:strRef>
          </c:tx>
          <c:spPr>
            <a:solidFill>
              <a:srgbClr val="0070C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1471</c:v>
                </c:pt>
                <c:pt idx="1">
                  <c:v>1458</c:v>
                </c:pt>
                <c:pt idx="2">
                  <c:v>1479</c:v>
                </c:pt>
                <c:pt idx="3">
                  <c:v>1469</c:v>
                </c:pt>
                <c:pt idx="4">
                  <c:v>1449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воспитанники детских садов</c:v>
                </c:pt>
              </c:strCache>
            </c:strRef>
          </c:tx>
          <c:spPr>
            <a:solidFill>
              <a:srgbClr val="92D05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708</c:v>
                </c:pt>
                <c:pt idx="1">
                  <c:v>722</c:v>
                </c:pt>
                <c:pt idx="2">
                  <c:v>732</c:v>
                </c:pt>
                <c:pt idx="3">
                  <c:v>702</c:v>
                </c:pt>
                <c:pt idx="4">
                  <c:v>729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востипанники учреждений доп. образования</c:v>
                </c:pt>
              </c:strCache>
            </c:strRef>
          </c:tx>
          <c:spPr>
            <a:solidFill>
              <a:srgbClr val="7030A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624</c:v>
                </c:pt>
                <c:pt idx="1">
                  <c:v>771</c:v>
                </c:pt>
                <c:pt idx="2">
                  <c:v>712</c:v>
                </c:pt>
                <c:pt idx="3">
                  <c:v>659</c:v>
                </c:pt>
                <c:pt idx="4">
                  <c:v>465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axId val="350113984"/>
        <c:axId val="513205904"/>
      </c:barChart>
      <c:catAx>
        <c:axId val="350113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513205904"/>
        <c:crosses val="autoZero"/>
        <c:auto val="1"/>
        <c:lblAlgn val="ctr"/>
        <c:lblOffset val="100"/>
        <c:noMultiLvlLbl val="0"/>
      </c:catAx>
      <c:valAx>
        <c:axId val="5132059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3501139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5678437693850678E-2"/>
          <c:y val="0.87845699287589052"/>
          <c:w val="0.90314553119042984"/>
          <c:h val="0.12154300712410948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dirty="0" smtClean="0"/>
              <a:t>Численность граждан систематически занимающихся физкультурой и спортом, чел.</a:t>
            </a:r>
            <a:endParaRPr lang="ru-RU" sz="1200" dirty="0"/>
          </a:p>
        </c:rich>
      </c:tx>
      <c:layout>
        <c:manualLayout>
          <c:xMode val="edge"/>
          <c:yMode val="edge"/>
          <c:x val="0.1023333333333333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399870119327869E-2"/>
          <c:y val="0.11010684270526788"/>
          <c:w val="0.90635673665791749"/>
          <c:h val="0.813955074059256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занято спортом всего</c:v>
                </c:pt>
              </c:strCache>
            </c:strRef>
          </c:tx>
          <c:spPr>
            <a:solidFill>
              <a:srgbClr val="1B2DD5"/>
            </a:solidFill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1346</c:v>
                </c:pt>
                <c:pt idx="1">
                  <c:v>1311</c:v>
                </c:pt>
                <c:pt idx="2">
                  <c:v>1575</c:v>
                </c:pt>
                <c:pt idx="3">
                  <c:v>2145</c:v>
                </c:pt>
                <c:pt idx="4">
                  <c:v>2960</c:v>
                </c:pt>
                <c:pt idx="5">
                  <c:v>3567</c:v>
                </c:pt>
                <c:pt idx="6">
                  <c:v>4044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т. ч. дети</c:v>
                </c:pt>
              </c:strCache>
            </c:strRef>
          </c:tx>
          <c:spPr>
            <a:solidFill>
              <a:srgbClr val="4BD0FF"/>
            </a:solidFill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1152</c:v>
                </c:pt>
                <c:pt idx="1">
                  <c:v>1017</c:v>
                </c:pt>
                <c:pt idx="2">
                  <c:v>876</c:v>
                </c:pt>
                <c:pt idx="3">
                  <c:v>807</c:v>
                </c:pt>
                <c:pt idx="4">
                  <c:v>849</c:v>
                </c:pt>
                <c:pt idx="5">
                  <c:v>1217</c:v>
                </c:pt>
                <c:pt idx="6">
                  <c:v>1028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7"/>
        <c:overlap val="5"/>
        <c:axId val="522526024"/>
        <c:axId val="522526808"/>
      </c:barChart>
      <c:catAx>
        <c:axId val="522526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522526808"/>
        <c:crosses val="autoZero"/>
        <c:auto val="0"/>
        <c:lblAlgn val="ctr"/>
        <c:lblOffset val="100"/>
        <c:noMultiLvlLbl val="0"/>
      </c:catAx>
      <c:valAx>
        <c:axId val="522526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22526024"/>
        <c:crosses val="autoZero"/>
        <c:crossBetween val="between"/>
      </c:valAx>
      <c:spPr>
        <a:effectLst>
          <a:innerShdw blurRad="63500" dist="50800" dir="5400000">
            <a:prstClr val="black">
              <a:alpha val="50000"/>
            </a:prstClr>
          </a:innerShdw>
        </a:effectLst>
      </c:spPr>
    </c:plotArea>
    <c:legend>
      <c:legendPos val="b"/>
      <c:layout>
        <c:manualLayout>
          <c:xMode val="edge"/>
          <c:yMode val="edge"/>
          <c:x val="0.13101520514104631"/>
          <c:y val="0.94045017100135209"/>
          <c:w val="0.77015735406136765"/>
          <c:h val="5.9549828998647907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52777777777776E-2"/>
          <c:y val="9.583333333333334E-2"/>
          <c:w val="0.90972222222222221"/>
          <c:h val="0.73333333333333328"/>
        </c:manualLayout>
      </c:layout>
      <c:lineChart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безработных, чел.</c:v>
                </c:pt>
              </c:strCache>
            </c:strRef>
          </c:tx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Sheet1!$B$1:$M$1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</c:numCache>
            </c:numRef>
          </c:cat>
          <c:val>
            <c:numRef>
              <c:f>Sheet1!$B$2:$M$2</c:f>
              <c:numCache>
                <c:formatCode>General</c:formatCode>
                <c:ptCount val="12"/>
                <c:pt idx="0">
                  <c:v>0.57999999999999996</c:v>
                </c:pt>
                <c:pt idx="1">
                  <c:v>0.75</c:v>
                </c:pt>
                <c:pt idx="2">
                  <c:v>0.76</c:v>
                </c:pt>
                <c:pt idx="3">
                  <c:v>0.64</c:v>
                </c:pt>
                <c:pt idx="4">
                  <c:v>1.1299999999999999</c:v>
                </c:pt>
                <c:pt idx="5">
                  <c:v>0.87</c:v>
                </c:pt>
                <c:pt idx="6">
                  <c:v>0.5</c:v>
                </c:pt>
                <c:pt idx="7">
                  <c:v>0.7</c:v>
                </c:pt>
                <c:pt idx="8">
                  <c:v>0.67</c:v>
                </c:pt>
                <c:pt idx="9">
                  <c:v>0.64</c:v>
                </c:pt>
                <c:pt idx="10">
                  <c:v>1.1000000000000001</c:v>
                </c:pt>
                <c:pt idx="11">
                  <c:v>0.54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plus"/>
            <c:size val="5"/>
            <c:spPr>
              <a:solidFill>
                <a:srgbClr val="993366"/>
              </a:solidFill>
              <a:ln>
                <a:solidFill>
                  <a:srgbClr val="0066CC"/>
                </a:solidFill>
                <a:prstDash val="solid"/>
              </a:ln>
            </c:spPr>
          </c:marker>
          <c:cat>
            <c:numRef>
              <c:f>Sheet1!$B$1:$M$1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</c:numCache>
            </c:numRef>
          </c:cat>
          <c:val>
            <c:numRef>
              <c:f>Sheet1!$B$3:$M$3</c:f>
              <c:numCache>
                <c:formatCode>General</c:formatCode>
                <c:ptCount val="12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7334008"/>
        <c:axId val="227334400"/>
      </c:lineChart>
      <c:catAx>
        <c:axId val="227334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44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7334400"/>
        <c:scaling>
          <c:orientation val="minMax"/>
          <c:max val="1.2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4008"/>
        <c:crosses val="autoZero"/>
        <c:crossBetween val="between"/>
        <c:majorUnit val="0.2"/>
      </c:valAx>
      <c:spPr>
        <a:blipFill dpi="0" rotWithShape="0">
          <a:blip xmlns:r="http://schemas.openxmlformats.org/officeDocument/2006/relationships" r:embed="rId1"/>
          <a:srcRect/>
          <a:tile tx="0" ty="0" sx="100000" sy="100000" flip="none" algn="tl"/>
        </a:blipFill>
        <a:ln w="12700">
          <a:solidFill>
            <a:srgbClr val="000000"/>
          </a:solidFill>
          <a:prstDash val="solid"/>
        </a:ln>
      </c:spPr>
    </c:plotArea>
    <c:plotVisOnly val="1"/>
    <c:dispBlanksAs val="zero"/>
    <c:showDLblsOverMax val="0"/>
  </c:chart>
  <c:spPr>
    <a:blipFill dpi="0" rotWithShape="0">
      <a:blip xmlns:r="http://schemas.openxmlformats.org/officeDocument/2006/relationships" r:embed="rId2"/>
      <a:srcRect/>
      <a:tile tx="0" ty="0" sx="100000" sy="100000" flip="none" algn="tl"/>
    </a:blipFill>
    <a:ln w="12700">
      <a:solidFill>
        <a:srgbClr val="FFFF99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414634146341464E-2"/>
          <c:y val="4.6920821114369501E-2"/>
          <c:w val="0.64878048780487807"/>
          <c:h val="0.844574780058651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Сахалинская область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00FF" mc:Ignorable="a14" a14:legacySpreadsheetColorIndex="14"/>
                </a:gs>
                <a:gs pos="100000">
                  <a:srgbClr xmlns:mc="http://schemas.openxmlformats.org/markup-compatibility/2006" xmlns:a14="http://schemas.microsoft.com/office/drawing/2010/main" val="FFFF00" mc:Ignorable="a14" a14:legacySpreadsheetColorIndex="34"/>
                </a:gs>
              </a:gsLst>
              <a:lin ang="5400000" scaled="1"/>
            </a:gra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396.8</c:v>
                </c:pt>
                <c:pt idx="1">
                  <c:v>540.6</c:v>
                </c:pt>
                <c:pt idx="2">
                  <c:v>596.9</c:v>
                </c:pt>
                <c:pt idx="3">
                  <c:v>592.4</c:v>
                </c:pt>
                <c:pt idx="4">
                  <c:v>782.76</c:v>
                </c:pt>
                <c:pt idx="5">
                  <c:v>755.7</c:v>
                </c:pt>
                <c:pt idx="6">
                  <c:v>686.7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в том числе Городской округ Ногликский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9900" mc:Ignorable="a14" a14:legacySpreadsheetColorIndex="52"/>
                </a:gs>
                <a:gs pos="100000">
                  <a:srgbClr xmlns:mc="http://schemas.openxmlformats.org/markup-compatibility/2006" xmlns:a14="http://schemas.microsoft.com/office/drawing/2010/main" val="00FF00" mc:Ignorable="a14" a14:legacySpreadsheetColorIndex="11"/>
                </a:gs>
              </a:gsLst>
              <a:lin ang="5400000" scaled="1"/>
            </a:gradFill>
            <a:ln w="15875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334.1</c:v>
                </c:pt>
                <c:pt idx="1">
                  <c:v>345.6</c:v>
                </c:pt>
                <c:pt idx="2">
                  <c:v>314</c:v>
                </c:pt>
                <c:pt idx="3">
                  <c:v>306</c:v>
                </c:pt>
                <c:pt idx="4">
                  <c:v>398.37</c:v>
                </c:pt>
                <c:pt idx="5">
                  <c:v>362.6</c:v>
                </c:pt>
                <c:pt idx="6">
                  <c:v>349.1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335184"/>
        <c:axId val="227335576"/>
      </c:barChart>
      <c:catAx>
        <c:axId val="22733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5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7335576"/>
        <c:scaling>
          <c:orientation val="minMax"/>
        </c:scaling>
        <c:delete val="0"/>
        <c:axPos val="l"/>
        <c:majorGridlines>
          <c:spPr>
            <a:ln w="39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5184"/>
        <c:crosses val="autoZero"/>
        <c:crossBetween val="between"/>
      </c:valAx>
      <c:spPr>
        <a:gradFill rotWithShape="0">
          <a:gsLst>
            <a:gs pos="0">
              <a:srgbClr xmlns:mc="http://schemas.openxmlformats.org/markup-compatibility/2006" xmlns:a14="http://schemas.microsoft.com/office/drawing/2010/main" val="00CCFF" mc:Ignorable="a14" a14:legacySpreadsheetColorIndex="40"/>
            </a:gs>
            <a:gs pos="100000">
              <a:srgbClr xmlns:mc="http://schemas.openxmlformats.org/markup-compatibility/2006" xmlns:a14="http://schemas.microsoft.com/office/drawing/2010/main" val="CCFFFF" mc:Ignorable="a14" a14:legacySpreadsheetColorIndex="41"/>
            </a:gs>
          </a:gsLst>
          <a:lin ang="2700000" scaled="1"/>
        </a:gradFill>
        <a:ln w="15875">
          <a:solidFill>
            <a:srgbClr val="C0C0C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983739837398377"/>
          <c:y val="0.2932551319648094"/>
          <c:w val="0.26016260162601629"/>
          <c:h val="0.46041055718475071"/>
        </c:manualLayout>
      </c:layout>
      <c:overlay val="0"/>
      <c:spPr>
        <a:noFill/>
        <a:ln w="3969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71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 b="1" i="0" u="none" strike="noStrike" baseline="0">
                <a:solidFill>
                  <a:srgbClr val="000000"/>
                </a:solidFill>
                <a:latin typeface="Arial Cyr"/>
                <a:cs typeface="Arial Cyr"/>
              </a:rPr>
              <a:t>О</a:t>
            </a:r>
            <a:r>
              <a:rPr lang="ru-RU" sz="13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бъемы добычи нефти и газа на территории </a:t>
            </a:r>
          </a:p>
          <a:p>
            <a:pPr>
              <a:defRPr sz="271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МО "Городской округ Ногликский"</a:t>
            </a:r>
          </a:p>
          <a:p>
            <a:pPr>
              <a:defRPr sz="271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300" b="1" i="0" u="none" strike="noStrike" baseline="0">
                <a:solidFill>
                  <a:srgbClr val="000000"/>
                </a:solidFill>
                <a:latin typeface="Calibri"/>
                <a:cs typeface="Calibri"/>
              </a:rPr>
              <a:t> в период 2010 - 2016 годы</a:t>
            </a:r>
          </a:p>
        </c:rich>
      </c:tx>
      <c:layout>
        <c:manualLayout>
          <c:xMode val="edge"/>
          <c:yMode val="edge"/>
          <c:x val="0.23610133177797216"/>
          <c:y val="1.9149036433076343E-2"/>
        </c:manualLayout>
      </c:layout>
      <c:overlay val="0"/>
      <c:spPr>
        <a:noFill/>
        <a:ln w="31684">
          <a:noFill/>
        </a:ln>
      </c:spPr>
    </c:title>
    <c:autoTitleDeleted val="0"/>
    <c:view3D>
      <c:rotX val="52"/>
      <c:hPercent val="53"/>
      <c:rotY val="315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FFFF00" mc:Ignorable="a14" a14:legacySpreadsheetColorIndex="34"/>
            </a:gs>
            <a:gs pos="100000">
              <a:srgbClr xmlns:mc="http://schemas.openxmlformats.org/markup-compatibility/2006" xmlns:a14="http://schemas.microsoft.com/office/drawing/2010/main" val="CCFFFF" mc:Ignorable="a14" a14:legacySpreadsheetColorIndex="41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FFFF00" mc:Ignorable="a14" a14:legacySpreadsheetColorIndex="34"/>
            </a:gs>
            <a:gs pos="100000">
              <a:srgbClr xmlns:mc="http://schemas.openxmlformats.org/markup-compatibility/2006" xmlns:a14="http://schemas.microsoft.com/office/drawing/2010/main" val="CCFFFF" mc:Ignorable="a14" a14:legacySpreadsheetColorIndex="41"/>
            </a:gs>
          </a:gsLst>
          <a:lin ang="5400000" scaled="1"/>
        </a:gra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1.3533834586466165E-2"/>
          <c:y val="0.16595744680851063"/>
          <c:w val="0.94135338345864661"/>
          <c:h val="0.653191489361702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Нефть (млн. тонн)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FF00" mc:Ignorable="a14" a14:legacySpreadsheetColorIndex="13"/>
                </a:gs>
                <a:gs pos="100000">
                  <a:srgbClr xmlns:mc="http://schemas.openxmlformats.org/markup-compatibility/2006" xmlns:a14="http://schemas.microsoft.com/office/drawing/2010/main" val="C0C0C0" mc:Ignorable="a14" a14:legacySpreadsheetColorIndex="22"/>
                </a:gs>
              </a:gsLst>
              <a:lin ang="5400000" scaled="1"/>
            </a:gradFill>
            <a:ln w="15842">
              <a:solidFill>
                <a:srgbClr val="000000"/>
              </a:solidFill>
              <a:prstDash val="solid"/>
            </a:ln>
          </c:spPr>
          <c:invertIfNegative val="0"/>
          <c:dPt>
            <c:idx val="6"/>
            <c:invertIfNegative val="0"/>
            <c:bubble3D val="0"/>
            <c:spPr>
              <a:gradFill rotWithShape="0">
                <a:gsLst>
                  <a:gs pos="0">
                    <a:srgbClr xmlns:mc="http://schemas.openxmlformats.org/markup-compatibility/2006" xmlns:a14="http://schemas.microsoft.com/office/drawing/2010/main" val="FFFF00" mc:Ignorable="a14" a14:legacySpreadsheetColorIndex="13"/>
                  </a:gs>
                  <a:gs pos="100000">
                    <a:srgbClr xmlns:mc="http://schemas.openxmlformats.org/markup-compatibility/2006" xmlns:a14="http://schemas.microsoft.com/office/drawing/2010/main" val="FFFFFF" mc:Ignorable="a14" a14:legacySpreadsheetColorIndex="9"/>
                  </a:gs>
                </a:gsLst>
                <a:lin ang="5400000" scaled="1"/>
              </a:gradFill>
              <a:ln w="15842">
                <a:solidFill>
                  <a:srgbClr val="000000"/>
                </a:solidFill>
                <a:prstDash val="solid"/>
              </a:ln>
            </c:spPr>
          </c:dPt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13.5</c:v>
                </c:pt>
                <c:pt idx="1">
                  <c:v>12.5</c:v>
                </c:pt>
                <c:pt idx="2">
                  <c:v>11.7</c:v>
                </c:pt>
                <c:pt idx="3">
                  <c:v>12.5</c:v>
                </c:pt>
                <c:pt idx="4">
                  <c:v>13.6</c:v>
                </c:pt>
                <c:pt idx="5">
                  <c:v>16.100000000000001</c:v>
                </c:pt>
                <c:pt idx="6">
                  <c:v>17.5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Газ (млрд.куб.метров)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00FFFF" mc:Ignorable="a14" a14:legacySpreadsheetColorIndex="15"/>
                </a:gs>
                <a:gs pos="100000">
                  <a:srgbClr xmlns:mc="http://schemas.openxmlformats.org/markup-compatibility/2006" xmlns:a14="http://schemas.microsoft.com/office/drawing/2010/main" val="FFCC99" mc:Ignorable="a14" a14:legacySpreadsheetColorIndex="47"/>
                </a:gs>
              </a:gsLst>
              <a:lin ang="5400000" scaled="1"/>
            </a:gradFill>
            <a:ln w="1584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Sheet1!$B$3:$H$3</c:f>
              <c:numCache>
                <c:formatCode>General</c:formatCode>
                <c:ptCount val="7"/>
                <c:pt idx="0">
                  <c:v>24</c:v>
                </c:pt>
                <c:pt idx="1">
                  <c:v>23.4</c:v>
                </c:pt>
                <c:pt idx="2">
                  <c:v>24.7</c:v>
                </c:pt>
                <c:pt idx="3">
                  <c:v>26.88</c:v>
                </c:pt>
                <c:pt idx="4">
                  <c:v>27.8</c:v>
                </c:pt>
                <c:pt idx="5">
                  <c:v>28.2</c:v>
                </c:pt>
                <c:pt idx="6">
                  <c:v>29.3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0"/>
        <c:gapDepth val="0"/>
        <c:shape val="box"/>
        <c:axId val="227336360"/>
        <c:axId val="248605928"/>
        <c:axId val="0"/>
      </c:bar3DChart>
      <c:catAx>
        <c:axId val="227336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9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8605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8605928"/>
        <c:scaling>
          <c:orientation val="minMax"/>
        </c:scaling>
        <c:delete val="0"/>
        <c:axPos val="r"/>
        <c:majorGridlines>
          <c:spPr>
            <a:ln w="396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6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336360"/>
        <c:crosses val="max"/>
        <c:crossBetween val="between"/>
      </c:valAx>
      <c:spPr>
        <a:noFill/>
        <a:ln w="31684">
          <a:noFill/>
        </a:ln>
      </c:spPr>
    </c:plotArea>
    <c:legend>
      <c:legendPos val="b"/>
      <c:layout>
        <c:manualLayout>
          <c:xMode val="edge"/>
          <c:yMode val="edge"/>
          <c:x val="9.1250393700787399E-2"/>
          <c:y val="0.88936180472221771"/>
          <c:w val="0.90234105181296786"/>
          <c:h val="0.11063829787234042"/>
        </c:manualLayout>
      </c:layout>
      <c:overlay val="0"/>
      <c:spPr>
        <a:noFill/>
        <a:ln w="3961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4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FFFFFF" mc:Ignorable="a14" a14:legacySpreadsheetColorIndex="9"/>
            </a:gs>
            <a:gs pos="100000">
              <a:srgbClr xmlns:mc="http://schemas.openxmlformats.org/markup-compatibility/2006" xmlns:a14="http://schemas.microsoft.com/office/drawing/2010/main" val="C0C0C0" mc:Ignorable="a14" a14:legacySpreadsheetColorIndex="22"/>
            </a:gs>
          </a:gsLst>
          <a:lin ang="5400000" scaled="1"/>
        </a:gradFill>
        <a:ln w="25400">
          <a:noFill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FFFFFF" mc:Ignorable="a14" a14:legacySpreadsheetColorIndex="9"/>
            </a:gs>
            <a:gs pos="100000">
              <a:srgbClr xmlns:mc="http://schemas.openxmlformats.org/markup-compatibility/2006" xmlns:a14="http://schemas.microsoft.com/office/drawing/2010/main" val="C0C0C0" mc:Ignorable="a14" a14:legacySpreadsheetColorIndex="22"/>
            </a:gs>
          </a:gsLst>
          <a:lin ang="5400000" scaled="1"/>
        </a:gra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9934747145187598E-2"/>
          <c:y val="0.18138424821002386"/>
          <c:w val="0.82055464926590538"/>
          <c:h val="0.737470167064439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Электроэнергия (млн.Квт.час)</c:v>
                </c:pt>
              </c:strCache>
            </c:strRef>
          </c:tx>
          <c:spPr>
            <a:gradFill rotWithShape="0">
              <a:gsLst>
                <a:gs pos="0">
                  <a:srgbClr xmlns:mc="http://schemas.openxmlformats.org/markup-compatibility/2006" xmlns:a14="http://schemas.microsoft.com/office/drawing/2010/main" val="FFFF00" mc:Ignorable="a14" a14:legacySpreadsheetColorIndex="13"/>
                </a:gs>
                <a:gs pos="100000">
                  <a:srgbClr xmlns:mc="http://schemas.openxmlformats.org/markup-compatibility/2006" xmlns:a14="http://schemas.microsoft.com/office/drawing/2010/main" val="FFCC99" mc:Ignorable="a14" a14:legacySpreadsheetColorIndex="47"/>
                </a:gs>
              </a:gsLst>
              <a:lin ang="5400000" scaled="1"/>
            </a:gradFill>
            <a:ln w="1583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Sheet1!$B$2:$H$2</c:f>
              <c:numCache>
                <c:formatCode>General</c:formatCode>
                <c:ptCount val="7"/>
                <c:pt idx="0">
                  <c:v>992</c:v>
                </c:pt>
                <c:pt idx="1">
                  <c:v>995.8</c:v>
                </c:pt>
                <c:pt idx="2">
                  <c:v>976.2</c:v>
                </c:pt>
                <c:pt idx="3">
                  <c:v>993.6</c:v>
                </c:pt>
                <c:pt idx="4">
                  <c:v>1008.2</c:v>
                </c:pt>
                <c:pt idx="5">
                  <c:v>1277.0999999999999</c:v>
                </c:pt>
                <c:pt idx="6">
                  <c:v>1480.2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8606712"/>
        <c:axId val="248607104"/>
        <c:axId val="0"/>
      </c:bar3DChart>
      <c:catAx>
        <c:axId val="248606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9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8607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8607104"/>
        <c:scaling>
          <c:orientation val="minMax"/>
          <c:max val="1500"/>
          <c:min val="0"/>
        </c:scaling>
        <c:delete val="0"/>
        <c:axPos val="l"/>
        <c:majorGridlines>
          <c:spPr>
            <a:ln w="395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9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7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8606712"/>
        <c:crosses val="autoZero"/>
        <c:crossBetween val="between"/>
        <c:majorUnit val="100"/>
      </c:valAx>
      <c:spPr>
        <a:noFill/>
        <a:ln w="31675">
          <a:noFill/>
        </a:ln>
      </c:spPr>
    </c:plotArea>
    <c:legend>
      <c:legendPos val="t"/>
      <c:layout>
        <c:manualLayout>
          <c:xMode val="edge"/>
          <c:yMode val="edge"/>
          <c:x val="0.18270799347471453"/>
          <c:y val="1.4319809069212411E-2"/>
          <c:w val="0.76182707993474719"/>
          <c:h val="6.6825775656324582E-2"/>
        </c:manualLayout>
      </c:layout>
      <c:overlay val="0"/>
      <c:spPr>
        <a:noFill/>
        <a:ln w="31675">
          <a:noFill/>
        </a:ln>
      </c:spPr>
      <c:txPr>
        <a:bodyPr/>
        <a:lstStyle/>
        <a:p>
          <a:pPr>
            <a:defRPr sz="13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21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4"/>
      <c:hPercent val="66"/>
      <c:rotY val="19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27"/>
            </a:gs>
            <a:gs pos="100000">
              <a:srgbClr xmlns:mc="http://schemas.openxmlformats.org/markup-compatibility/2006" xmlns:a14="http://schemas.microsoft.com/office/drawing/2010/main" val="C0C0C0" mc:Ignorable="a14" a14:legacySpreadsheetColorIndex="22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xmlns:mc="http://schemas.openxmlformats.org/markup-compatibility/2006" xmlns:a14="http://schemas.microsoft.com/office/drawing/2010/main" val="CCFFFF" mc:Ignorable="a14" a14:legacySpreadsheetColorIndex="27"/>
            </a:gs>
            <a:gs pos="100000">
              <a:srgbClr xmlns:mc="http://schemas.openxmlformats.org/markup-compatibility/2006" xmlns:a14="http://schemas.microsoft.com/office/drawing/2010/main" val="C0C0C0" mc:Ignorable="a14" a14:legacySpreadsheetColorIndex="22"/>
            </a:gs>
          </a:gsLst>
          <a:lin ang="5400000" scaled="1"/>
        </a:gra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94337632184834"/>
          <c:y val="0.19944175678467282"/>
          <c:w val="0.88805662367815164"/>
          <c:h val="0.7174184373994129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Теплоэнергия (тыс.Гкал.)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 w="15841">
              <a:solidFill>
                <a:srgbClr val="7030A0"/>
              </a:solidFill>
              <a:prstDash val="solid"/>
            </a:ln>
          </c:spPr>
          <c:invertIfNegative val="0"/>
          <c:cat>
            <c:numRef>
              <c:f>Sheet1!$B$1:$H$1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Sheet1!$B$2:$H$2</c:f>
              <c:numCache>
                <c:formatCode>#\ ##0.0</c:formatCode>
                <c:ptCount val="7"/>
                <c:pt idx="0">
                  <c:v>1035.5</c:v>
                </c:pt>
                <c:pt idx="1">
                  <c:v>1002.7</c:v>
                </c:pt>
                <c:pt idx="2" formatCode="#,##0.00">
                  <c:v>906.3</c:v>
                </c:pt>
                <c:pt idx="3" formatCode="General">
                  <c:v>456.6</c:v>
                </c:pt>
                <c:pt idx="4" formatCode="General">
                  <c:v>475</c:v>
                </c:pt>
                <c:pt idx="5" formatCode="General">
                  <c:v>513.29999999999995</c:v>
                </c:pt>
                <c:pt idx="6" formatCode="General">
                  <c:v>464.5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8607888"/>
        <c:axId val="248608280"/>
        <c:axId val="0"/>
      </c:bar3DChart>
      <c:catAx>
        <c:axId val="24860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9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7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8608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8608280"/>
        <c:scaling>
          <c:orientation val="minMax"/>
        </c:scaling>
        <c:delete val="0"/>
        <c:axPos val="l"/>
        <c:majorGridlines>
          <c:spPr>
            <a:ln w="3960">
              <a:solidFill>
                <a:srgbClr val="000000"/>
              </a:solidFill>
              <a:prstDash val="solid"/>
            </a:ln>
          </c:spPr>
        </c:majorGridlines>
        <c:numFmt formatCode="#\ ##0.0" sourceLinked="1"/>
        <c:majorTickMark val="out"/>
        <c:minorTickMark val="none"/>
        <c:tickLblPos val="nextTo"/>
        <c:spPr>
          <a:ln w="396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72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8607888"/>
        <c:crosses val="autoZero"/>
        <c:crossBetween val="between"/>
        <c:majorUnit val="300"/>
      </c:valAx>
      <c:spPr>
        <a:noFill/>
        <a:ln w="31681">
          <a:noFill/>
        </a:ln>
      </c:spPr>
    </c:plotArea>
    <c:legend>
      <c:legendPos val="t"/>
      <c:legendEntry>
        <c:idx val="0"/>
        <c:txPr>
          <a:bodyPr/>
          <a:lstStyle/>
          <a:p>
            <a:pPr>
              <a:defRPr sz="13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</c:legendEntry>
      <c:layout>
        <c:manualLayout>
          <c:xMode val="edge"/>
          <c:yMode val="edge"/>
          <c:x val="9.951060358890701E-2"/>
          <c:y val="4.4150110375275938E-3"/>
          <c:w val="0.77487765089722671"/>
          <c:h val="8.3885209713024281E-2"/>
        </c:manualLayout>
      </c:layout>
      <c:overlay val="0"/>
      <c:spPr>
        <a:noFill/>
        <a:ln w="31681">
          <a:noFill/>
        </a:ln>
      </c:spPr>
      <c:txPr>
        <a:bodyPr/>
        <a:lstStyle/>
        <a:p>
          <a:pPr>
            <a:defRPr sz="13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21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100" dirty="0" smtClean="0"/>
              <a:t>Производство важнейших видов продукции в рыболовстве, </a:t>
            </a:r>
            <a:r>
              <a:rPr lang="ru-RU" sz="1100" dirty="0" err="1" smtClean="0"/>
              <a:t>тн</a:t>
            </a:r>
            <a:endParaRPr lang="ru-RU" sz="1100" dirty="0" smtClean="0"/>
          </a:p>
          <a:p>
            <a:pPr>
              <a:defRPr sz="1600"/>
            </a:pPr>
            <a:r>
              <a:rPr lang="ru-RU" sz="1100" dirty="0" smtClean="0"/>
              <a:t> (по субъектам</a:t>
            </a:r>
            <a:r>
              <a:rPr lang="ru-RU" sz="1100" baseline="0" dirty="0" smtClean="0"/>
              <a:t> включенным в </a:t>
            </a:r>
            <a:r>
              <a:rPr lang="ru-RU" sz="1100" baseline="0" dirty="0" err="1" smtClean="0"/>
              <a:t>статнаблюдение</a:t>
            </a:r>
            <a:r>
              <a:rPr lang="ru-RU" sz="1100" baseline="0" dirty="0" smtClean="0"/>
              <a:t>)</a:t>
            </a:r>
            <a:endParaRPr lang="ru-RU" sz="1100" dirty="0"/>
          </a:p>
        </c:rich>
      </c:tx>
      <c:layout>
        <c:manualLayout>
          <c:xMode val="edge"/>
          <c:yMode val="edge"/>
          <c:x val="0.17394226844038937"/>
          <c:y val="2.827585814246104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2.2843483420799016E-4"/>
          <c:y val="9.1405537431465317E-2"/>
          <c:w val="0.96556520938431067"/>
          <c:h val="0.621141531778272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Лист1!$E$4</c:f>
              <c:strCache>
                <c:ptCount val="1"/>
                <c:pt idx="0">
                  <c:v>рыба живая, свежая и охлажденная, тонн</c:v>
                </c:pt>
              </c:strCache>
            </c:strRef>
          </c:tx>
          <c:spPr>
            <a:solidFill>
              <a:srgbClr val="6699FF"/>
            </a:solidFill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aseline="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Лист1!$G$3:$N$3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Лист1!$G$4:$N$4</c:f>
              <c:numCache>
                <c:formatCode>General</c:formatCode>
                <c:ptCount val="6"/>
                <c:pt idx="0">
                  <c:v>906</c:v>
                </c:pt>
                <c:pt idx="1">
                  <c:v>29</c:v>
                </c:pt>
                <c:pt idx="2">
                  <c:v>1141.4000000000001</c:v>
                </c:pt>
                <c:pt idx="3">
                  <c:v>70</c:v>
                </c:pt>
                <c:pt idx="4">
                  <c:v>497</c:v>
                </c:pt>
                <c:pt idx="5">
                  <c:v>159.5</c:v>
                </c:pt>
              </c:numCache>
            </c:numRef>
          </c:val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рыба и продукты рыбные, переработанные, тонн</c:v>
                </c:pt>
              </c:strCache>
            </c:strRef>
          </c:tx>
          <c:spPr>
            <a:solidFill>
              <a:srgbClr val="FF6600"/>
            </a:solidFill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spPr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Лист1!$G$3:$N$3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Лист1!$G$5:$N$5</c:f>
              <c:numCache>
                <c:formatCode>General</c:formatCode>
                <c:ptCount val="6"/>
                <c:pt idx="0">
                  <c:v>477.3</c:v>
                </c:pt>
                <c:pt idx="1">
                  <c:v>21</c:v>
                </c:pt>
                <c:pt idx="2">
                  <c:v>836.3</c:v>
                </c:pt>
                <c:pt idx="3">
                  <c:v>76</c:v>
                </c:pt>
                <c:pt idx="4">
                  <c:v>456</c:v>
                </c:pt>
                <c:pt idx="5">
                  <c:v>155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24"/>
        <c:axId val="248609064"/>
        <c:axId val="248609456"/>
      </c:barChart>
      <c:catAx>
        <c:axId val="248609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8609456"/>
        <c:crosses val="autoZero"/>
        <c:auto val="1"/>
        <c:lblAlgn val="ctr"/>
        <c:lblOffset val="100"/>
        <c:noMultiLvlLbl val="0"/>
      </c:catAx>
      <c:valAx>
        <c:axId val="248609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8609064"/>
        <c:crosses val="autoZero"/>
        <c:crossBetween val="between"/>
      </c:valAx>
      <c:spPr>
        <a:noFill/>
        <a:effectLst>
          <a:glow rad="139700">
            <a:schemeClr val="accent3">
              <a:satMod val="175000"/>
              <a:alpha val="40000"/>
            </a:schemeClr>
          </a:glow>
        </a:effectLst>
      </c:spPr>
    </c:plotArea>
    <c:legend>
      <c:legendPos val="b"/>
      <c:legendEntry>
        <c:idx val="0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ayout>
        <c:manualLayout>
          <c:xMode val="edge"/>
          <c:yMode val="edge"/>
          <c:x val="1.3082883007771691E-2"/>
          <c:y val="0.81124891514320163"/>
          <c:w val="0.98347232249600691"/>
          <c:h val="0.17208453484140124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>
      <a:innerShdw blurRad="114300">
        <a:prstClr val="black"/>
      </a:inn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300" dirty="0" smtClean="0"/>
              <a:t>Древесина необработанная и лесоматериалы, тыс. куб. м.</a:t>
            </a:r>
            <a:endParaRPr lang="ru-RU" sz="1300" dirty="0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9787982290202083E-2"/>
          <c:y val="0.15440924297992664"/>
          <c:w val="0.89327954554768352"/>
          <c:h val="0.643141824029228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Лист1!$E$4</c:f>
              <c:strCache>
                <c:ptCount val="1"/>
                <c:pt idx="0">
                  <c:v>древесина необработанная, тыс. куб. м.</c:v>
                </c:pt>
              </c:strCache>
            </c:strRef>
          </c:tx>
          <c:spPr>
            <a:solidFill>
              <a:srgbClr val="28A06F"/>
            </a:solidFill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 prst="angle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Лист1!$F$3:$N$3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Лист1!$F$4:$N$4</c:f>
              <c:numCache>
                <c:formatCode>General</c:formatCode>
                <c:ptCount val="7"/>
                <c:pt idx="0">
                  <c:v>6.8</c:v>
                </c:pt>
                <c:pt idx="1">
                  <c:v>18.3</c:v>
                </c:pt>
                <c:pt idx="2">
                  <c:v>18.100000000000001</c:v>
                </c:pt>
                <c:pt idx="3">
                  <c:v>6</c:v>
                </c:pt>
                <c:pt idx="4">
                  <c:v>2.9</c:v>
                </c:pt>
                <c:pt idx="5">
                  <c:v>3.1</c:v>
                </c:pt>
                <c:pt idx="6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Лист1!$E$5</c:f>
              <c:strCache>
                <c:ptCount val="1"/>
                <c:pt idx="0">
                  <c:v>лесоматериалы, тыс. куб. м.</c:v>
                </c:pt>
              </c:strCache>
            </c:strRef>
          </c:tx>
          <c:spPr>
            <a:solidFill>
              <a:srgbClr val="FFCC00"/>
            </a:solidFill>
            <a:scene3d>
              <a:camera prst="orthographicFront"/>
              <a:lightRig rig="threePt" dir="t"/>
            </a:scene3d>
            <a:sp3d>
              <a:bevelT w="190500" h="38100" prst="artDeco"/>
            </a:sp3d>
          </c:spPr>
          <c:invertIfNegative val="0"/>
          <c:dLbls>
            <c:spPr>
              <a:scene3d>
                <a:camera prst="orthographicFront"/>
                <a:lightRig rig="threePt" dir="t"/>
              </a:scene3d>
              <a:sp3d>
                <a:bevelT prst="relaxedInset"/>
              </a:sp3d>
            </c:spPr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Лист1!$F$3:$N$3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Лист1!$F$5:$N$5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1.7</c:v>
                </c:pt>
                <c:pt idx="3">
                  <c:v>1.4</c:v>
                </c:pt>
                <c:pt idx="4">
                  <c:v>1.2</c:v>
                </c:pt>
                <c:pt idx="5">
                  <c:v>1.4</c:v>
                </c:pt>
                <c:pt idx="6">
                  <c:v>1.39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4"/>
        <c:axId val="248610240"/>
        <c:axId val="248610632"/>
      </c:barChart>
      <c:catAx>
        <c:axId val="24861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8610632"/>
        <c:crosses val="autoZero"/>
        <c:auto val="1"/>
        <c:lblAlgn val="ctr"/>
        <c:lblOffset val="100"/>
        <c:noMultiLvlLbl val="0"/>
      </c:catAx>
      <c:valAx>
        <c:axId val="248610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48610240"/>
        <c:crosses val="autoZero"/>
        <c:crossBetween val="between"/>
      </c:valAx>
      <c:spPr>
        <a:effectLst>
          <a:glow rad="139700">
            <a:schemeClr val="accent3">
              <a:satMod val="175000"/>
              <a:alpha val="40000"/>
            </a:schemeClr>
          </a:glow>
        </a:effectLst>
      </c:spPr>
    </c:plotArea>
    <c:legend>
      <c:legendPos val="b"/>
      <c:legendEntry>
        <c:idx val="0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/>
            </a:pPr>
            <a:endParaRPr lang="ru-RU"/>
          </a:p>
        </c:txPr>
      </c:legendEntry>
      <c:layout>
        <c:manualLayout>
          <c:xMode val="edge"/>
          <c:yMode val="edge"/>
          <c:x val="7.2517762162331814E-2"/>
          <c:y val="0.81124891514320163"/>
          <c:w val="0.85496447567533662"/>
          <c:h val="0.17208453484140124"/>
        </c:manualLayout>
      </c:layout>
      <c:overlay val="0"/>
      <c:txPr>
        <a:bodyPr/>
        <a:lstStyle/>
        <a:p>
          <a:pPr>
            <a:defRPr sz="1400" baseline="0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>
      <a:innerShdw blurRad="114300">
        <a:prstClr val="black"/>
      </a:inn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2332D5-50E4-41E7-BD39-68148130906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45CD247-67D6-46A1-AFAD-8FE1D5F9A59B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 panose="020F0502020204030204" pitchFamily="34" charset="0"/>
            </a:rPr>
            <a:t>Получатели субсидий в 2016 году по видам экономической деятельности </a:t>
          </a:r>
          <a:endParaRPr lang="ru-RU" smtClean="0"/>
        </a:p>
      </dgm:t>
    </dgm:pt>
    <dgm:pt modelId="{5D59EF49-530A-4CCE-905F-66A67B6B2C66}" type="parTrans" cxnId="{96708515-4C5E-414F-B1E6-B2C152E1C8C1}">
      <dgm:prSet/>
      <dgm:spPr/>
    </dgm:pt>
    <dgm:pt modelId="{7A2E6917-2BC6-489E-BDCB-29986CFB7E8F}" type="sibTrans" cxnId="{96708515-4C5E-414F-B1E6-B2C152E1C8C1}">
      <dgm:prSet/>
      <dgm:spPr/>
    </dgm:pt>
    <dgm:pt modelId="{C931E044-709B-4FFC-9C45-41BBD092BAE8}" type="asst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2F5496"/>
              </a:solidFill>
              <a:latin typeface="Calibri" panose="020F0502020204030204" pitchFamily="34" charset="0"/>
            </a:rPr>
            <a:t>Рыбопромышленный комплекс</a:t>
          </a:r>
          <a:endParaRPr lang="ru-RU" b="1" i="0" u="none" strike="noStrike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algn="l" rtl="0"/>
          <a:r>
            <a:rPr lang="ru-RU" b="1" i="1" u="none" strike="noStrike" baseline="0" smtClean="0">
              <a:latin typeface="Times New Roman" panose="02020603050405020304" pitchFamily="18" charset="0"/>
            </a:rPr>
            <a:t> 4 субъекта;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сумма 2,5 млн. руб.</a:t>
          </a:r>
          <a:endParaRPr lang="ru-RU" smtClean="0"/>
        </a:p>
      </dgm:t>
    </dgm:pt>
    <dgm:pt modelId="{0F8587C8-D21A-4E48-8ADA-14223E41FAE6}" type="parTrans" cxnId="{396BAE53-419A-4A0C-AC7F-3202723B37BA}">
      <dgm:prSet/>
      <dgm:spPr/>
    </dgm:pt>
    <dgm:pt modelId="{59884557-7825-4766-A77B-F0F2BD8A3E48}" type="sibTrans" cxnId="{396BAE53-419A-4A0C-AC7F-3202723B37BA}">
      <dgm:prSet/>
      <dgm:spPr/>
    </dgm:pt>
    <dgm:pt modelId="{BD5E61CC-E056-4D18-9C88-5B88BA463745}" type="asst">
      <dgm:prSet/>
      <dgm:spPr/>
      <dgm:t>
        <a:bodyPr/>
        <a:lstStyle/>
        <a:p>
          <a:pPr marR="0" algn="ctr" rtl="0"/>
          <a:r>
            <a:rPr lang="ru-RU" b="1" i="0" u="sng" strike="noStrike" baseline="0" smtClean="0">
              <a:solidFill>
                <a:srgbClr val="2F5496"/>
              </a:solidFill>
              <a:latin typeface="Calibri" panose="020F0502020204030204" pitchFamily="34" charset="0"/>
            </a:rPr>
            <a:t>Обрабатывающее производство</a:t>
          </a:r>
          <a:endParaRPr lang="ru-RU" b="1" i="0" u="sng" strike="noStrike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 2 субъекта;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 сумма 0,3 млн.руб.</a:t>
          </a:r>
          <a:endParaRPr lang="ru-RU" smtClean="0"/>
        </a:p>
      </dgm:t>
    </dgm:pt>
    <dgm:pt modelId="{A2D51615-2A71-463A-8F5A-7792C4B847FF}" type="parTrans" cxnId="{9EA7F760-7969-4638-8FDA-C56C13BB4362}">
      <dgm:prSet/>
      <dgm:spPr/>
    </dgm:pt>
    <dgm:pt modelId="{A63B178D-2921-4CCF-BB46-7F62C895B34D}" type="sibTrans" cxnId="{9EA7F760-7969-4638-8FDA-C56C13BB4362}">
      <dgm:prSet/>
      <dgm:spPr/>
    </dgm:pt>
    <dgm:pt modelId="{96396F3C-CF05-49E5-96B4-28E15A580835}">
      <dgm:prSet/>
      <dgm:spPr/>
      <dgm:t>
        <a:bodyPr/>
        <a:lstStyle/>
        <a:p>
          <a:pPr marR="0" algn="ctr" rtl="0"/>
          <a:r>
            <a:rPr lang="ru-RU" b="1" i="0" u="sng" strike="noStrike" baseline="0" smtClean="0">
              <a:solidFill>
                <a:srgbClr val="2F5496"/>
              </a:solidFill>
              <a:latin typeface="Calibri" panose="020F0502020204030204" pitchFamily="34" charset="0"/>
            </a:rPr>
            <a:t>Строительство</a:t>
          </a:r>
          <a:endParaRPr lang="ru-RU" b="1" i="0" u="sng" strike="noStrike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1 субъект;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сумма 1,0 млн.руб.</a:t>
          </a:r>
          <a:endParaRPr lang="ru-RU" smtClean="0"/>
        </a:p>
      </dgm:t>
    </dgm:pt>
    <dgm:pt modelId="{59A32216-4D84-4FE9-8C45-AB0D4B505243}" type="parTrans" cxnId="{A63ABFF1-ACE1-4A6B-860B-CBB954266F8D}">
      <dgm:prSet/>
      <dgm:spPr/>
    </dgm:pt>
    <dgm:pt modelId="{B686D2E5-3272-48DA-8517-65CABFF9394D}" type="sibTrans" cxnId="{A63ABFF1-ACE1-4A6B-860B-CBB954266F8D}">
      <dgm:prSet/>
      <dgm:spPr/>
    </dgm:pt>
    <dgm:pt modelId="{F9E5C51E-7996-458A-9D24-5795ACDE98C2}">
      <dgm:prSet/>
      <dgm:spPr/>
      <dgm:t>
        <a:bodyPr/>
        <a:lstStyle/>
        <a:p>
          <a:pPr marR="0" algn="ctr" rtl="0"/>
          <a:r>
            <a:rPr lang="ru-RU" b="1" i="0" u="sng" strike="noStrike" baseline="0" smtClean="0">
              <a:solidFill>
                <a:srgbClr val="2F5496"/>
              </a:solidFill>
              <a:latin typeface="Calibri" panose="020F0502020204030204" pitchFamily="34" charset="0"/>
            </a:rPr>
            <a:t>Торговля, бытовые услуги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11 субъектов;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сумма 2,9 млн.руб.</a:t>
          </a:r>
          <a:endParaRPr lang="ru-RU" smtClean="0"/>
        </a:p>
      </dgm:t>
    </dgm:pt>
    <dgm:pt modelId="{8D19E17F-5EA0-4F90-B7BB-E2A3B72B54E0}" type="parTrans" cxnId="{9A2E06A0-427D-4536-AE0A-FF282352F211}">
      <dgm:prSet/>
      <dgm:spPr/>
    </dgm:pt>
    <dgm:pt modelId="{7D498E60-0B17-49D2-BEC6-2E9743F58B16}" type="sibTrans" cxnId="{9A2E06A0-427D-4536-AE0A-FF282352F211}">
      <dgm:prSet/>
      <dgm:spPr/>
    </dgm:pt>
    <dgm:pt modelId="{182A0CCD-4ABA-4849-8A74-6188D677D4AF}">
      <dgm:prSet/>
      <dgm:spPr/>
      <dgm:t>
        <a:bodyPr/>
        <a:lstStyle/>
        <a:p>
          <a:pPr marR="0" algn="ctr" rtl="0"/>
          <a:r>
            <a:rPr lang="ru-RU" b="1" i="0" u="sng" strike="noStrike" baseline="0" smtClean="0">
              <a:solidFill>
                <a:srgbClr val="2F5496"/>
              </a:solidFill>
              <a:latin typeface="Calibri" panose="020F0502020204030204" pitchFamily="34" charset="0"/>
            </a:rPr>
            <a:t>Прочие</a:t>
          </a:r>
        </a:p>
        <a:p>
          <a:pPr marR="0" algn="ctr" rtl="0"/>
          <a:endParaRPr lang="ru-RU" b="1" i="0" u="none" strike="noStrike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algn="l" rtl="0"/>
          <a:r>
            <a:rPr lang="ru-RU" b="0" i="0" u="none" strike="noStrike" baseline="0" smtClean="0">
              <a:latin typeface="Calibri" panose="020F0502020204030204" pitchFamily="34" charset="0"/>
            </a:rPr>
            <a:t> </a:t>
          </a:r>
          <a:r>
            <a:rPr lang="ru-RU" b="1" i="1" u="none" strike="noStrike" baseline="0" smtClean="0">
              <a:latin typeface="Calibri" panose="020F0502020204030204" pitchFamily="34" charset="0"/>
            </a:rPr>
            <a:t>4 субъектов;</a:t>
          </a:r>
        </a:p>
        <a:p>
          <a:pPr marR="0" algn="l" rtl="0"/>
          <a:r>
            <a:rPr lang="ru-RU" b="1" i="1" u="none" strike="noStrike" baseline="0" smtClean="0">
              <a:latin typeface="Calibri" panose="020F0502020204030204" pitchFamily="34" charset="0"/>
            </a:rPr>
            <a:t> сумма 0,4 млн.руб.</a:t>
          </a:r>
          <a:endParaRPr lang="ru-RU" smtClean="0"/>
        </a:p>
      </dgm:t>
    </dgm:pt>
    <dgm:pt modelId="{58FF6B5E-AAB7-4418-BE31-DBC2130D1B09}" type="parTrans" cxnId="{FAB5006A-B853-4354-9E16-8181A4A62F21}">
      <dgm:prSet/>
      <dgm:spPr/>
    </dgm:pt>
    <dgm:pt modelId="{F4DA5AE9-903B-4E07-854F-3CCFED39AF85}" type="sibTrans" cxnId="{FAB5006A-B853-4354-9E16-8181A4A62F21}">
      <dgm:prSet/>
      <dgm:spPr/>
    </dgm:pt>
    <dgm:pt modelId="{8E03B4DC-44E6-458B-861E-1942FC412A54}" type="pres">
      <dgm:prSet presAssocID="{612332D5-50E4-41E7-BD39-68148130906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C9E8941-F9CC-4A4A-8492-002CC23669F1}" type="pres">
      <dgm:prSet presAssocID="{245CD247-67D6-46A1-AFAD-8FE1D5F9A59B}" presName="hierRoot1" presStyleCnt="0">
        <dgm:presLayoutVars>
          <dgm:hierBranch/>
        </dgm:presLayoutVars>
      </dgm:prSet>
      <dgm:spPr/>
    </dgm:pt>
    <dgm:pt modelId="{06586CE2-862F-4CAE-AE97-F35004071077}" type="pres">
      <dgm:prSet presAssocID="{245CD247-67D6-46A1-AFAD-8FE1D5F9A59B}" presName="rootComposite1" presStyleCnt="0"/>
      <dgm:spPr/>
    </dgm:pt>
    <dgm:pt modelId="{141C804D-2230-4563-BE2D-49F8954943F5}" type="pres">
      <dgm:prSet presAssocID="{245CD247-67D6-46A1-AFAD-8FE1D5F9A59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D8C84A1-F945-43BD-B591-A11C49DC3AED}" type="pres">
      <dgm:prSet presAssocID="{245CD247-67D6-46A1-AFAD-8FE1D5F9A59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84E8313-D233-4833-86A0-0984521BD2F4}" type="pres">
      <dgm:prSet presAssocID="{245CD247-67D6-46A1-AFAD-8FE1D5F9A59B}" presName="hierChild2" presStyleCnt="0"/>
      <dgm:spPr/>
    </dgm:pt>
    <dgm:pt modelId="{343704FD-6291-4F70-BBCB-263C346B25AD}" type="pres">
      <dgm:prSet presAssocID="{59A32216-4D84-4FE9-8C45-AB0D4B505243}" presName="Name35" presStyleLbl="parChTrans1D2" presStyleIdx="0" presStyleCnt="5"/>
      <dgm:spPr/>
    </dgm:pt>
    <dgm:pt modelId="{6C538B3A-7127-4CC9-9959-2D47E71A1390}" type="pres">
      <dgm:prSet presAssocID="{96396F3C-CF05-49E5-96B4-28E15A580835}" presName="hierRoot2" presStyleCnt="0">
        <dgm:presLayoutVars>
          <dgm:hierBranch/>
        </dgm:presLayoutVars>
      </dgm:prSet>
      <dgm:spPr/>
    </dgm:pt>
    <dgm:pt modelId="{C7F6CD42-366A-4CB8-B43F-7905AD6B1579}" type="pres">
      <dgm:prSet presAssocID="{96396F3C-CF05-49E5-96B4-28E15A580835}" presName="rootComposite" presStyleCnt="0"/>
      <dgm:spPr/>
    </dgm:pt>
    <dgm:pt modelId="{A19FE078-1B68-4ABC-B1B6-EBE2DEB768D9}" type="pres">
      <dgm:prSet presAssocID="{96396F3C-CF05-49E5-96B4-28E15A580835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8C6F22D-55A3-4159-A179-F61DD14EE29D}" type="pres">
      <dgm:prSet presAssocID="{96396F3C-CF05-49E5-96B4-28E15A580835}" presName="rootConnector" presStyleLbl="node2" presStyleIdx="0" presStyleCnt="3"/>
      <dgm:spPr/>
      <dgm:t>
        <a:bodyPr/>
        <a:lstStyle/>
        <a:p>
          <a:endParaRPr lang="ru-RU"/>
        </a:p>
      </dgm:t>
    </dgm:pt>
    <dgm:pt modelId="{18657284-2DDF-4077-B5E8-05CAA012FE25}" type="pres">
      <dgm:prSet presAssocID="{96396F3C-CF05-49E5-96B4-28E15A580835}" presName="hierChild4" presStyleCnt="0"/>
      <dgm:spPr/>
    </dgm:pt>
    <dgm:pt modelId="{AA717DC8-CDA9-4437-BAEC-54614FF4724A}" type="pres">
      <dgm:prSet presAssocID="{96396F3C-CF05-49E5-96B4-28E15A580835}" presName="hierChild5" presStyleCnt="0"/>
      <dgm:spPr/>
    </dgm:pt>
    <dgm:pt modelId="{126699F0-C388-4B03-855D-AE37F1350972}" type="pres">
      <dgm:prSet presAssocID="{8D19E17F-5EA0-4F90-B7BB-E2A3B72B54E0}" presName="Name35" presStyleLbl="parChTrans1D2" presStyleIdx="1" presStyleCnt="5"/>
      <dgm:spPr/>
    </dgm:pt>
    <dgm:pt modelId="{E60BBE63-194D-4D29-8026-196EFBCB88DB}" type="pres">
      <dgm:prSet presAssocID="{F9E5C51E-7996-458A-9D24-5795ACDE98C2}" presName="hierRoot2" presStyleCnt="0">
        <dgm:presLayoutVars>
          <dgm:hierBranch/>
        </dgm:presLayoutVars>
      </dgm:prSet>
      <dgm:spPr/>
    </dgm:pt>
    <dgm:pt modelId="{207475AA-1343-4318-A70C-A00C2FCC3C29}" type="pres">
      <dgm:prSet presAssocID="{F9E5C51E-7996-458A-9D24-5795ACDE98C2}" presName="rootComposite" presStyleCnt="0"/>
      <dgm:spPr/>
    </dgm:pt>
    <dgm:pt modelId="{EA50E3A0-482E-47D6-A74A-0ACEA1E81D9D}" type="pres">
      <dgm:prSet presAssocID="{F9E5C51E-7996-458A-9D24-5795ACDE98C2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E1B20EF-E667-42A9-AF2E-F823E0ABBC4E}" type="pres">
      <dgm:prSet presAssocID="{F9E5C51E-7996-458A-9D24-5795ACDE98C2}" presName="rootConnector" presStyleLbl="node2" presStyleIdx="1" presStyleCnt="3"/>
      <dgm:spPr/>
      <dgm:t>
        <a:bodyPr/>
        <a:lstStyle/>
        <a:p>
          <a:endParaRPr lang="ru-RU"/>
        </a:p>
      </dgm:t>
    </dgm:pt>
    <dgm:pt modelId="{81CF8098-8646-45B9-BFA2-312AAD9581E8}" type="pres">
      <dgm:prSet presAssocID="{F9E5C51E-7996-458A-9D24-5795ACDE98C2}" presName="hierChild4" presStyleCnt="0"/>
      <dgm:spPr/>
    </dgm:pt>
    <dgm:pt modelId="{DC84925A-3397-4804-BEC1-189C3EE817E0}" type="pres">
      <dgm:prSet presAssocID="{F9E5C51E-7996-458A-9D24-5795ACDE98C2}" presName="hierChild5" presStyleCnt="0"/>
      <dgm:spPr/>
    </dgm:pt>
    <dgm:pt modelId="{310375BE-E3AA-4753-9BF0-F4506CD790F4}" type="pres">
      <dgm:prSet presAssocID="{58FF6B5E-AAB7-4418-BE31-DBC2130D1B09}" presName="Name35" presStyleLbl="parChTrans1D2" presStyleIdx="2" presStyleCnt="5"/>
      <dgm:spPr/>
    </dgm:pt>
    <dgm:pt modelId="{6A3FCDAE-5BAB-40E2-AE86-7FF4B505CD13}" type="pres">
      <dgm:prSet presAssocID="{182A0CCD-4ABA-4849-8A74-6188D677D4AF}" presName="hierRoot2" presStyleCnt="0">
        <dgm:presLayoutVars>
          <dgm:hierBranch/>
        </dgm:presLayoutVars>
      </dgm:prSet>
      <dgm:spPr/>
    </dgm:pt>
    <dgm:pt modelId="{35E99F90-BE00-413F-99AD-A955993D2EF7}" type="pres">
      <dgm:prSet presAssocID="{182A0CCD-4ABA-4849-8A74-6188D677D4AF}" presName="rootComposite" presStyleCnt="0"/>
      <dgm:spPr/>
    </dgm:pt>
    <dgm:pt modelId="{63043ADB-50B9-4F08-B7EC-524ECBF7B6CB}" type="pres">
      <dgm:prSet presAssocID="{182A0CCD-4ABA-4849-8A74-6188D677D4AF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C9A3FD-57A3-4814-962D-07DA8B5D3262}" type="pres">
      <dgm:prSet presAssocID="{182A0CCD-4ABA-4849-8A74-6188D677D4AF}" presName="rootConnector" presStyleLbl="node2" presStyleIdx="2" presStyleCnt="3"/>
      <dgm:spPr/>
      <dgm:t>
        <a:bodyPr/>
        <a:lstStyle/>
        <a:p>
          <a:endParaRPr lang="ru-RU"/>
        </a:p>
      </dgm:t>
    </dgm:pt>
    <dgm:pt modelId="{001052F4-217D-4081-9BD5-518B0628BA9E}" type="pres">
      <dgm:prSet presAssocID="{182A0CCD-4ABA-4849-8A74-6188D677D4AF}" presName="hierChild4" presStyleCnt="0"/>
      <dgm:spPr/>
    </dgm:pt>
    <dgm:pt modelId="{82790A86-F99F-4ECE-8EBE-8254F37F197F}" type="pres">
      <dgm:prSet presAssocID="{182A0CCD-4ABA-4849-8A74-6188D677D4AF}" presName="hierChild5" presStyleCnt="0"/>
      <dgm:spPr/>
    </dgm:pt>
    <dgm:pt modelId="{C5269BEC-94C1-4993-93AD-909862178508}" type="pres">
      <dgm:prSet presAssocID="{245CD247-67D6-46A1-AFAD-8FE1D5F9A59B}" presName="hierChild3" presStyleCnt="0"/>
      <dgm:spPr/>
    </dgm:pt>
    <dgm:pt modelId="{529FA4A1-C6ED-4A34-8287-619A23270FDF}" type="pres">
      <dgm:prSet presAssocID="{0F8587C8-D21A-4E48-8ADA-14223E41FAE6}" presName="Name111" presStyleLbl="parChTrans1D2" presStyleIdx="3" presStyleCnt="5"/>
      <dgm:spPr/>
    </dgm:pt>
    <dgm:pt modelId="{87C30C9C-8BD5-4CCE-BD78-FAD39BDEFAC9}" type="pres">
      <dgm:prSet presAssocID="{C931E044-709B-4FFC-9C45-41BBD092BAE8}" presName="hierRoot3" presStyleCnt="0">
        <dgm:presLayoutVars>
          <dgm:hierBranch/>
        </dgm:presLayoutVars>
      </dgm:prSet>
      <dgm:spPr/>
    </dgm:pt>
    <dgm:pt modelId="{382EE1C6-D8D6-43B2-950E-E571AB80B6DC}" type="pres">
      <dgm:prSet presAssocID="{C931E044-709B-4FFC-9C45-41BBD092BAE8}" presName="rootComposite3" presStyleCnt="0"/>
      <dgm:spPr/>
    </dgm:pt>
    <dgm:pt modelId="{4BB00952-95CB-45F7-9D75-CF7639CB755B}" type="pres">
      <dgm:prSet presAssocID="{C931E044-709B-4FFC-9C45-41BBD092BAE8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79DB756-7B16-4835-A1E8-C6B346CC95A0}" type="pres">
      <dgm:prSet presAssocID="{C931E044-709B-4FFC-9C45-41BBD092BAE8}" presName="rootConnector3" presStyleLbl="asst1" presStyleIdx="0" presStyleCnt="2"/>
      <dgm:spPr/>
      <dgm:t>
        <a:bodyPr/>
        <a:lstStyle/>
        <a:p>
          <a:endParaRPr lang="ru-RU"/>
        </a:p>
      </dgm:t>
    </dgm:pt>
    <dgm:pt modelId="{5DD4A1B9-7401-48E9-A29F-653F8E90A9AA}" type="pres">
      <dgm:prSet presAssocID="{C931E044-709B-4FFC-9C45-41BBD092BAE8}" presName="hierChild6" presStyleCnt="0"/>
      <dgm:spPr/>
    </dgm:pt>
    <dgm:pt modelId="{4EC2DAD6-EAD8-4D34-AA53-1E7549434ECD}" type="pres">
      <dgm:prSet presAssocID="{C931E044-709B-4FFC-9C45-41BBD092BAE8}" presName="hierChild7" presStyleCnt="0"/>
      <dgm:spPr/>
    </dgm:pt>
    <dgm:pt modelId="{F9985C5B-64BC-40DC-AC5F-29188F4ACC93}" type="pres">
      <dgm:prSet presAssocID="{A2D51615-2A71-463A-8F5A-7792C4B847FF}" presName="Name111" presStyleLbl="parChTrans1D2" presStyleIdx="4" presStyleCnt="5"/>
      <dgm:spPr/>
    </dgm:pt>
    <dgm:pt modelId="{FCA2AF89-7FD5-419D-8290-D36A54CD5A43}" type="pres">
      <dgm:prSet presAssocID="{BD5E61CC-E056-4D18-9C88-5B88BA463745}" presName="hierRoot3" presStyleCnt="0">
        <dgm:presLayoutVars>
          <dgm:hierBranch/>
        </dgm:presLayoutVars>
      </dgm:prSet>
      <dgm:spPr/>
    </dgm:pt>
    <dgm:pt modelId="{C245640D-9DFB-4171-A242-F76647AC318C}" type="pres">
      <dgm:prSet presAssocID="{BD5E61CC-E056-4D18-9C88-5B88BA463745}" presName="rootComposite3" presStyleCnt="0"/>
      <dgm:spPr/>
    </dgm:pt>
    <dgm:pt modelId="{E2D7C87C-BE88-4EB9-9124-22991AA9C096}" type="pres">
      <dgm:prSet presAssocID="{BD5E61CC-E056-4D18-9C88-5B88BA463745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ADA8C2-344A-43DB-A588-C0772ECDD7D4}" type="pres">
      <dgm:prSet presAssocID="{BD5E61CC-E056-4D18-9C88-5B88BA463745}" presName="rootConnector3" presStyleLbl="asst1" presStyleIdx="1" presStyleCnt="2"/>
      <dgm:spPr/>
      <dgm:t>
        <a:bodyPr/>
        <a:lstStyle/>
        <a:p>
          <a:endParaRPr lang="ru-RU"/>
        </a:p>
      </dgm:t>
    </dgm:pt>
    <dgm:pt modelId="{B5E05599-1C9C-4B39-898A-D0D05992F35D}" type="pres">
      <dgm:prSet presAssocID="{BD5E61CC-E056-4D18-9C88-5B88BA463745}" presName="hierChild6" presStyleCnt="0"/>
      <dgm:spPr/>
    </dgm:pt>
    <dgm:pt modelId="{A09A61E3-408E-4329-BA55-3BF9DFA24B4E}" type="pres">
      <dgm:prSet presAssocID="{BD5E61CC-E056-4D18-9C88-5B88BA463745}" presName="hierChild7" presStyleCnt="0"/>
      <dgm:spPr/>
    </dgm:pt>
  </dgm:ptLst>
  <dgm:cxnLst>
    <dgm:cxn modelId="{D14DA00B-0EE5-4BEB-8CE8-45FF81C97729}" type="presOf" srcId="{C931E044-709B-4FFC-9C45-41BBD092BAE8}" destId="{479DB756-7B16-4835-A1E8-C6B346CC95A0}" srcOrd="1" destOrd="0" presId="urn:microsoft.com/office/officeart/2005/8/layout/orgChart1"/>
    <dgm:cxn modelId="{0A83CA00-AEF4-4147-AA99-F82E99F14288}" type="presOf" srcId="{8D19E17F-5EA0-4F90-B7BB-E2A3B72B54E0}" destId="{126699F0-C388-4B03-855D-AE37F1350972}" srcOrd="0" destOrd="0" presId="urn:microsoft.com/office/officeart/2005/8/layout/orgChart1"/>
    <dgm:cxn modelId="{EEB064BB-66B2-46C5-8DC8-1ED48092427E}" type="presOf" srcId="{BD5E61CC-E056-4D18-9C88-5B88BA463745}" destId="{E2D7C87C-BE88-4EB9-9124-22991AA9C096}" srcOrd="0" destOrd="0" presId="urn:microsoft.com/office/officeart/2005/8/layout/orgChart1"/>
    <dgm:cxn modelId="{9EA7F760-7969-4638-8FDA-C56C13BB4362}" srcId="{245CD247-67D6-46A1-AFAD-8FE1D5F9A59B}" destId="{BD5E61CC-E056-4D18-9C88-5B88BA463745}" srcOrd="1" destOrd="0" parTransId="{A2D51615-2A71-463A-8F5A-7792C4B847FF}" sibTransId="{A63B178D-2921-4CCF-BB46-7F62C895B34D}"/>
    <dgm:cxn modelId="{96708515-4C5E-414F-B1E6-B2C152E1C8C1}" srcId="{612332D5-50E4-41E7-BD39-681481309068}" destId="{245CD247-67D6-46A1-AFAD-8FE1D5F9A59B}" srcOrd="0" destOrd="0" parTransId="{5D59EF49-530A-4CCE-905F-66A67B6B2C66}" sibTransId="{7A2E6917-2BC6-489E-BDCB-29986CFB7E8F}"/>
    <dgm:cxn modelId="{A63ABFF1-ACE1-4A6B-860B-CBB954266F8D}" srcId="{245CD247-67D6-46A1-AFAD-8FE1D5F9A59B}" destId="{96396F3C-CF05-49E5-96B4-28E15A580835}" srcOrd="2" destOrd="0" parTransId="{59A32216-4D84-4FE9-8C45-AB0D4B505243}" sibTransId="{B686D2E5-3272-48DA-8517-65CABFF9394D}"/>
    <dgm:cxn modelId="{1469D3FF-40C3-4167-97D5-0B85CA3CCF1A}" type="presOf" srcId="{0F8587C8-D21A-4E48-8ADA-14223E41FAE6}" destId="{529FA4A1-C6ED-4A34-8287-619A23270FDF}" srcOrd="0" destOrd="0" presId="urn:microsoft.com/office/officeart/2005/8/layout/orgChart1"/>
    <dgm:cxn modelId="{84D9E759-D446-4C31-9195-0FE233D76F38}" type="presOf" srcId="{59A32216-4D84-4FE9-8C45-AB0D4B505243}" destId="{343704FD-6291-4F70-BBCB-263C346B25AD}" srcOrd="0" destOrd="0" presId="urn:microsoft.com/office/officeart/2005/8/layout/orgChart1"/>
    <dgm:cxn modelId="{10B87EDA-5D89-429E-962C-EF9D17EBE000}" type="presOf" srcId="{245CD247-67D6-46A1-AFAD-8FE1D5F9A59B}" destId="{4D8C84A1-F945-43BD-B591-A11C49DC3AED}" srcOrd="1" destOrd="0" presId="urn:microsoft.com/office/officeart/2005/8/layout/orgChart1"/>
    <dgm:cxn modelId="{990A6413-6FAF-4AFE-834A-60288092B336}" type="presOf" srcId="{F9E5C51E-7996-458A-9D24-5795ACDE98C2}" destId="{EA50E3A0-482E-47D6-A74A-0ACEA1E81D9D}" srcOrd="0" destOrd="0" presId="urn:microsoft.com/office/officeart/2005/8/layout/orgChart1"/>
    <dgm:cxn modelId="{0B93A052-8596-434C-AF30-94210334FFE9}" type="presOf" srcId="{F9E5C51E-7996-458A-9D24-5795ACDE98C2}" destId="{CE1B20EF-E667-42A9-AF2E-F823E0ABBC4E}" srcOrd="1" destOrd="0" presId="urn:microsoft.com/office/officeart/2005/8/layout/orgChart1"/>
    <dgm:cxn modelId="{FAB5006A-B853-4354-9E16-8181A4A62F21}" srcId="{245CD247-67D6-46A1-AFAD-8FE1D5F9A59B}" destId="{182A0CCD-4ABA-4849-8A74-6188D677D4AF}" srcOrd="4" destOrd="0" parTransId="{58FF6B5E-AAB7-4418-BE31-DBC2130D1B09}" sibTransId="{F4DA5AE9-903B-4E07-854F-3CCFED39AF85}"/>
    <dgm:cxn modelId="{E799ACD8-782F-4AA5-9BA2-527221893B0F}" type="presOf" srcId="{96396F3C-CF05-49E5-96B4-28E15A580835}" destId="{E8C6F22D-55A3-4159-A179-F61DD14EE29D}" srcOrd="1" destOrd="0" presId="urn:microsoft.com/office/officeart/2005/8/layout/orgChart1"/>
    <dgm:cxn modelId="{E04811DA-1E7E-43B1-945D-261E0B2F1309}" type="presOf" srcId="{245CD247-67D6-46A1-AFAD-8FE1D5F9A59B}" destId="{141C804D-2230-4563-BE2D-49F8954943F5}" srcOrd="0" destOrd="0" presId="urn:microsoft.com/office/officeart/2005/8/layout/orgChart1"/>
    <dgm:cxn modelId="{10DC988E-6634-4E15-A4F3-10D45BBA2AD7}" type="presOf" srcId="{182A0CCD-4ABA-4849-8A74-6188D677D4AF}" destId="{0BC9A3FD-57A3-4814-962D-07DA8B5D3262}" srcOrd="1" destOrd="0" presId="urn:microsoft.com/office/officeart/2005/8/layout/orgChart1"/>
    <dgm:cxn modelId="{56A3522E-F621-486C-829E-DA75906FCEE5}" type="presOf" srcId="{612332D5-50E4-41E7-BD39-681481309068}" destId="{8E03B4DC-44E6-458B-861E-1942FC412A54}" srcOrd="0" destOrd="0" presId="urn:microsoft.com/office/officeart/2005/8/layout/orgChart1"/>
    <dgm:cxn modelId="{DA74C28D-9DEA-4281-99CF-B958CC3A3C8C}" type="presOf" srcId="{C931E044-709B-4FFC-9C45-41BBD092BAE8}" destId="{4BB00952-95CB-45F7-9D75-CF7639CB755B}" srcOrd="0" destOrd="0" presId="urn:microsoft.com/office/officeart/2005/8/layout/orgChart1"/>
    <dgm:cxn modelId="{9429391B-595B-470A-A80E-3FE7123F7AC4}" type="presOf" srcId="{182A0CCD-4ABA-4849-8A74-6188D677D4AF}" destId="{63043ADB-50B9-4F08-B7EC-524ECBF7B6CB}" srcOrd="0" destOrd="0" presId="urn:microsoft.com/office/officeart/2005/8/layout/orgChart1"/>
    <dgm:cxn modelId="{745C5F65-0E55-4E64-BBEF-5DEDDFEA8043}" type="presOf" srcId="{96396F3C-CF05-49E5-96B4-28E15A580835}" destId="{A19FE078-1B68-4ABC-B1B6-EBE2DEB768D9}" srcOrd="0" destOrd="0" presId="urn:microsoft.com/office/officeart/2005/8/layout/orgChart1"/>
    <dgm:cxn modelId="{9A2E06A0-427D-4536-AE0A-FF282352F211}" srcId="{245CD247-67D6-46A1-AFAD-8FE1D5F9A59B}" destId="{F9E5C51E-7996-458A-9D24-5795ACDE98C2}" srcOrd="3" destOrd="0" parTransId="{8D19E17F-5EA0-4F90-B7BB-E2A3B72B54E0}" sibTransId="{7D498E60-0B17-49D2-BEC6-2E9743F58B16}"/>
    <dgm:cxn modelId="{396BAE53-419A-4A0C-AC7F-3202723B37BA}" srcId="{245CD247-67D6-46A1-AFAD-8FE1D5F9A59B}" destId="{C931E044-709B-4FFC-9C45-41BBD092BAE8}" srcOrd="0" destOrd="0" parTransId="{0F8587C8-D21A-4E48-8ADA-14223E41FAE6}" sibTransId="{59884557-7825-4766-A77B-F0F2BD8A3E48}"/>
    <dgm:cxn modelId="{2DAD7A34-7E65-471D-BCCB-70139A82C1F7}" type="presOf" srcId="{BD5E61CC-E056-4D18-9C88-5B88BA463745}" destId="{2BADA8C2-344A-43DB-A588-C0772ECDD7D4}" srcOrd="1" destOrd="0" presId="urn:microsoft.com/office/officeart/2005/8/layout/orgChart1"/>
    <dgm:cxn modelId="{BA5DC6DE-2801-451A-BB68-EAF74BDE4CDA}" type="presOf" srcId="{58FF6B5E-AAB7-4418-BE31-DBC2130D1B09}" destId="{310375BE-E3AA-4753-9BF0-F4506CD790F4}" srcOrd="0" destOrd="0" presId="urn:microsoft.com/office/officeart/2005/8/layout/orgChart1"/>
    <dgm:cxn modelId="{18C22F76-CC97-4406-BF35-32DC20014F83}" type="presOf" srcId="{A2D51615-2A71-463A-8F5A-7792C4B847FF}" destId="{F9985C5B-64BC-40DC-AC5F-29188F4ACC93}" srcOrd="0" destOrd="0" presId="urn:microsoft.com/office/officeart/2005/8/layout/orgChart1"/>
    <dgm:cxn modelId="{F09D3371-8335-4330-9057-857594996F52}" type="presParOf" srcId="{8E03B4DC-44E6-458B-861E-1942FC412A54}" destId="{1C9E8941-F9CC-4A4A-8492-002CC23669F1}" srcOrd="0" destOrd="0" presId="urn:microsoft.com/office/officeart/2005/8/layout/orgChart1"/>
    <dgm:cxn modelId="{972FC341-ABBE-4324-A655-4C3FCFB86958}" type="presParOf" srcId="{1C9E8941-F9CC-4A4A-8492-002CC23669F1}" destId="{06586CE2-862F-4CAE-AE97-F35004071077}" srcOrd="0" destOrd="0" presId="urn:microsoft.com/office/officeart/2005/8/layout/orgChart1"/>
    <dgm:cxn modelId="{571AF9E4-2DA8-4A19-8386-5D559470CD57}" type="presParOf" srcId="{06586CE2-862F-4CAE-AE97-F35004071077}" destId="{141C804D-2230-4563-BE2D-49F8954943F5}" srcOrd="0" destOrd="0" presId="urn:microsoft.com/office/officeart/2005/8/layout/orgChart1"/>
    <dgm:cxn modelId="{F3478C9B-983E-4DC5-916C-21CA126B150F}" type="presParOf" srcId="{06586CE2-862F-4CAE-AE97-F35004071077}" destId="{4D8C84A1-F945-43BD-B591-A11C49DC3AED}" srcOrd="1" destOrd="0" presId="urn:microsoft.com/office/officeart/2005/8/layout/orgChart1"/>
    <dgm:cxn modelId="{5EEF68E3-9E33-4520-A4C9-1C7C1C0F9BC3}" type="presParOf" srcId="{1C9E8941-F9CC-4A4A-8492-002CC23669F1}" destId="{884E8313-D233-4833-86A0-0984521BD2F4}" srcOrd="1" destOrd="0" presId="urn:microsoft.com/office/officeart/2005/8/layout/orgChart1"/>
    <dgm:cxn modelId="{7CFE9B42-78FC-4C6E-87D1-ABED87DEA768}" type="presParOf" srcId="{884E8313-D233-4833-86A0-0984521BD2F4}" destId="{343704FD-6291-4F70-BBCB-263C346B25AD}" srcOrd="0" destOrd="0" presId="urn:microsoft.com/office/officeart/2005/8/layout/orgChart1"/>
    <dgm:cxn modelId="{EDFF4064-9367-4D82-B776-D3F4353DCB89}" type="presParOf" srcId="{884E8313-D233-4833-86A0-0984521BD2F4}" destId="{6C538B3A-7127-4CC9-9959-2D47E71A1390}" srcOrd="1" destOrd="0" presId="urn:microsoft.com/office/officeart/2005/8/layout/orgChart1"/>
    <dgm:cxn modelId="{B5CF20F6-C7C0-4E4B-8AE5-60D2CE25E0F4}" type="presParOf" srcId="{6C538B3A-7127-4CC9-9959-2D47E71A1390}" destId="{C7F6CD42-366A-4CB8-B43F-7905AD6B1579}" srcOrd="0" destOrd="0" presId="urn:microsoft.com/office/officeart/2005/8/layout/orgChart1"/>
    <dgm:cxn modelId="{05C459BE-403E-48F6-9053-9E986DCE8C22}" type="presParOf" srcId="{C7F6CD42-366A-4CB8-B43F-7905AD6B1579}" destId="{A19FE078-1B68-4ABC-B1B6-EBE2DEB768D9}" srcOrd="0" destOrd="0" presId="urn:microsoft.com/office/officeart/2005/8/layout/orgChart1"/>
    <dgm:cxn modelId="{15542F4C-EA6F-4311-B355-E7C9705036CF}" type="presParOf" srcId="{C7F6CD42-366A-4CB8-B43F-7905AD6B1579}" destId="{E8C6F22D-55A3-4159-A179-F61DD14EE29D}" srcOrd="1" destOrd="0" presId="urn:microsoft.com/office/officeart/2005/8/layout/orgChart1"/>
    <dgm:cxn modelId="{85E2913C-2762-4CBF-A229-7E06931807CB}" type="presParOf" srcId="{6C538B3A-7127-4CC9-9959-2D47E71A1390}" destId="{18657284-2DDF-4077-B5E8-05CAA012FE25}" srcOrd="1" destOrd="0" presId="urn:microsoft.com/office/officeart/2005/8/layout/orgChart1"/>
    <dgm:cxn modelId="{C7F3F386-CA6E-4095-91A3-91FEFA8830EA}" type="presParOf" srcId="{6C538B3A-7127-4CC9-9959-2D47E71A1390}" destId="{AA717DC8-CDA9-4437-BAEC-54614FF4724A}" srcOrd="2" destOrd="0" presId="urn:microsoft.com/office/officeart/2005/8/layout/orgChart1"/>
    <dgm:cxn modelId="{7292CA7E-4366-48A3-AE9E-A66D320B2713}" type="presParOf" srcId="{884E8313-D233-4833-86A0-0984521BD2F4}" destId="{126699F0-C388-4B03-855D-AE37F1350972}" srcOrd="2" destOrd="0" presId="urn:microsoft.com/office/officeart/2005/8/layout/orgChart1"/>
    <dgm:cxn modelId="{B930BB6A-0C72-49ED-B6F4-93BB1EA0A950}" type="presParOf" srcId="{884E8313-D233-4833-86A0-0984521BD2F4}" destId="{E60BBE63-194D-4D29-8026-196EFBCB88DB}" srcOrd="3" destOrd="0" presId="urn:microsoft.com/office/officeart/2005/8/layout/orgChart1"/>
    <dgm:cxn modelId="{25767619-4647-4386-A9CF-686A3EA7B062}" type="presParOf" srcId="{E60BBE63-194D-4D29-8026-196EFBCB88DB}" destId="{207475AA-1343-4318-A70C-A00C2FCC3C29}" srcOrd="0" destOrd="0" presId="urn:microsoft.com/office/officeart/2005/8/layout/orgChart1"/>
    <dgm:cxn modelId="{F8170912-F5E1-4E5F-BB11-1E19D897F1A6}" type="presParOf" srcId="{207475AA-1343-4318-A70C-A00C2FCC3C29}" destId="{EA50E3A0-482E-47D6-A74A-0ACEA1E81D9D}" srcOrd="0" destOrd="0" presId="urn:microsoft.com/office/officeart/2005/8/layout/orgChart1"/>
    <dgm:cxn modelId="{85AF0577-7125-4C0C-942B-6967CA23E106}" type="presParOf" srcId="{207475AA-1343-4318-A70C-A00C2FCC3C29}" destId="{CE1B20EF-E667-42A9-AF2E-F823E0ABBC4E}" srcOrd="1" destOrd="0" presId="urn:microsoft.com/office/officeart/2005/8/layout/orgChart1"/>
    <dgm:cxn modelId="{C2297ED8-EB99-4193-8AE8-55AA72DA27B8}" type="presParOf" srcId="{E60BBE63-194D-4D29-8026-196EFBCB88DB}" destId="{81CF8098-8646-45B9-BFA2-312AAD9581E8}" srcOrd="1" destOrd="0" presId="urn:microsoft.com/office/officeart/2005/8/layout/orgChart1"/>
    <dgm:cxn modelId="{01A41054-1E11-4019-B43C-617CC11F535B}" type="presParOf" srcId="{E60BBE63-194D-4D29-8026-196EFBCB88DB}" destId="{DC84925A-3397-4804-BEC1-189C3EE817E0}" srcOrd="2" destOrd="0" presId="urn:microsoft.com/office/officeart/2005/8/layout/orgChart1"/>
    <dgm:cxn modelId="{27D6AC9D-4C00-44BC-B12D-3EAF38AB0184}" type="presParOf" srcId="{884E8313-D233-4833-86A0-0984521BD2F4}" destId="{310375BE-E3AA-4753-9BF0-F4506CD790F4}" srcOrd="4" destOrd="0" presId="urn:microsoft.com/office/officeart/2005/8/layout/orgChart1"/>
    <dgm:cxn modelId="{A5A38FA6-E7FC-428D-9505-B6EA3D045894}" type="presParOf" srcId="{884E8313-D233-4833-86A0-0984521BD2F4}" destId="{6A3FCDAE-5BAB-40E2-AE86-7FF4B505CD13}" srcOrd="5" destOrd="0" presId="urn:microsoft.com/office/officeart/2005/8/layout/orgChart1"/>
    <dgm:cxn modelId="{F0173918-0DA8-4D84-9287-EE18E3421356}" type="presParOf" srcId="{6A3FCDAE-5BAB-40E2-AE86-7FF4B505CD13}" destId="{35E99F90-BE00-413F-99AD-A955993D2EF7}" srcOrd="0" destOrd="0" presId="urn:microsoft.com/office/officeart/2005/8/layout/orgChart1"/>
    <dgm:cxn modelId="{F54002A8-341F-4104-AF37-9C483F5C76A8}" type="presParOf" srcId="{35E99F90-BE00-413F-99AD-A955993D2EF7}" destId="{63043ADB-50B9-4F08-B7EC-524ECBF7B6CB}" srcOrd="0" destOrd="0" presId="urn:microsoft.com/office/officeart/2005/8/layout/orgChart1"/>
    <dgm:cxn modelId="{88CC77D3-F27F-4E5B-AB60-F72324F9D385}" type="presParOf" srcId="{35E99F90-BE00-413F-99AD-A955993D2EF7}" destId="{0BC9A3FD-57A3-4814-962D-07DA8B5D3262}" srcOrd="1" destOrd="0" presId="urn:microsoft.com/office/officeart/2005/8/layout/orgChart1"/>
    <dgm:cxn modelId="{331A1A50-2056-401D-94C9-0BEBD1DA3CCC}" type="presParOf" srcId="{6A3FCDAE-5BAB-40E2-AE86-7FF4B505CD13}" destId="{001052F4-217D-4081-9BD5-518B0628BA9E}" srcOrd="1" destOrd="0" presId="urn:microsoft.com/office/officeart/2005/8/layout/orgChart1"/>
    <dgm:cxn modelId="{9D79DA76-0726-4104-A0E6-5AFF5039E5F4}" type="presParOf" srcId="{6A3FCDAE-5BAB-40E2-AE86-7FF4B505CD13}" destId="{82790A86-F99F-4ECE-8EBE-8254F37F197F}" srcOrd="2" destOrd="0" presId="urn:microsoft.com/office/officeart/2005/8/layout/orgChart1"/>
    <dgm:cxn modelId="{5DE02A6C-EE34-4A3A-9938-BA85BBEC1B2E}" type="presParOf" srcId="{1C9E8941-F9CC-4A4A-8492-002CC23669F1}" destId="{C5269BEC-94C1-4993-93AD-909862178508}" srcOrd="2" destOrd="0" presId="urn:microsoft.com/office/officeart/2005/8/layout/orgChart1"/>
    <dgm:cxn modelId="{942F23C3-3704-4880-A0EC-EE2C576D7CAC}" type="presParOf" srcId="{C5269BEC-94C1-4993-93AD-909862178508}" destId="{529FA4A1-C6ED-4A34-8287-619A23270FDF}" srcOrd="0" destOrd="0" presId="urn:microsoft.com/office/officeart/2005/8/layout/orgChart1"/>
    <dgm:cxn modelId="{52735C7E-6B45-4503-92AF-DA019EB78A66}" type="presParOf" srcId="{C5269BEC-94C1-4993-93AD-909862178508}" destId="{87C30C9C-8BD5-4CCE-BD78-FAD39BDEFAC9}" srcOrd="1" destOrd="0" presId="urn:microsoft.com/office/officeart/2005/8/layout/orgChart1"/>
    <dgm:cxn modelId="{03EBA0AB-E6D5-47B8-8534-7A451E384A9E}" type="presParOf" srcId="{87C30C9C-8BD5-4CCE-BD78-FAD39BDEFAC9}" destId="{382EE1C6-D8D6-43B2-950E-E571AB80B6DC}" srcOrd="0" destOrd="0" presId="urn:microsoft.com/office/officeart/2005/8/layout/orgChart1"/>
    <dgm:cxn modelId="{450E2B24-D0B9-486E-B85C-B416FCEB549F}" type="presParOf" srcId="{382EE1C6-D8D6-43B2-950E-E571AB80B6DC}" destId="{4BB00952-95CB-45F7-9D75-CF7639CB755B}" srcOrd="0" destOrd="0" presId="urn:microsoft.com/office/officeart/2005/8/layout/orgChart1"/>
    <dgm:cxn modelId="{20E544DD-42FE-438F-BAB0-108E0EE99A57}" type="presParOf" srcId="{382EE1C6-D8D6-43B2-950E-E571AB80B6DC}" destId="{479DB756-7B16-4835-A1E8-C6B346CC95A0}" srcOrd="1" destOrd="0" presId="urn:microsoft.com/office/officeart/2005/8/layout/orgChart1"/>
    <dgm:cxn modelId="{84A181E7-2DA7-47C2-BEEB-D28C9F7E08E3}" type="presParOf" srcId="{87C30C9C-8BD5-4CCE-BD78-FAD39BDEFAC9}" destId="{5DD4A1B9-7401-48E9-A29F-653F8E90A9AA}" srcOrd="1" destOrd="0" presId="urn:microsoft.com/office/officeart/2005/8/layout/orgChart1"/>
    <dgm:cxn modelId="{F403EB00-830D-4D52-9401-FF240533E8AB}" type="presParOf" srcId="{87C30C9C-8BD5-4CCE-BD78-FAD39BDEFAC9}" destId="{4EC2DAD6-EAD8-4D34-AA53-1E7549434ECD}" srcOrd="2" destOrd="0" presId="urn:microsoft.com/office/officeart/2005/8/layout/orgChart1"/>
    <dgm:cxn modelId="{E76D1628-89D6-41DF-B7CD-CC9EBC0E7475}" type="presParOf" srcId="{C5269BEC-94C1-4993-93AD-909862178508}" destId="{F9985C5B-64BC-40DC-AC5F-29188F4ACC93}" srcOrd="2" destOrd="0" presId="urn:microsoft.com/office/officeart/2005/8/layout/orgChart1"/>
    <dgm:cxn modelId="{886855D5-EA20-4ECA-8531-DF54BB8BBF24}" type="presParOf" srcId="{C5269BEC-94C1-4993-93AD-909862178508}" destId="{FCA2AF89-7FD5-419D-8290-D36A54CD5A43}" srcOrd="3" destOrd="0" presId="urn:microsoft.com/office/officeart/2005/8/layout/orgChart1"/>
    <dgm:cxn modelId="{9033941F-C356-4FCB-90D0-96B0C907F6DC}" type="presParOf" srcId="{FCA2AF89-7FD5-419D-8290-D36A54CD5A43}" destId="{C245640D-9DFB-4171-A242-F76647AC318C}" srcOrd="0" destOrd="0" presId="urn:microsoft.com/office/officeart/2005/8/layout/orgChart1"/>
    <dgm:cxn modelId="{576BC60C-7DF9-4016-A6B8-3E01F16E1528}" type="presParOf" srcId="{C245640D-9DFB-4171-A242-F76647AC318C}" destId="{E2D7C87C-BE88-4EB9-9124-22991AA9C096}" srcOrd="0" destOrd="0" presId="urn:microsoft.com/office/officeart/2005/8/layout/orgChart1"/>
    <dgm:cxn modelId="{26C991A7-17E1-4FD3-BC40-8B59260B6A83}" type="presParOf" srcId="{C245640D-9DFB-4171-A242-F76647AC318C}" destId="{2BADA8C2-344A-43DB-A588-C0772ECDD7D4}" srcOrd="1" destOrd="0" presId="urn:microsoft.com/office/officeart/2005/8/layout/orgChart1"/>
    <dgm:cxn modelId="{A585F6CB-01BD-458C-90C2-FDE3A7A5ECC7}" type="presParOf" srcId="{FCA2AF89-7FD5-419D-8290-D36A54CD5A43}" destId="{B5E05599-1C9C-4B39-898A-D0D05992F35D}" srcOrd="1" destOrd="0" presId="urn:microsoft.com/office/officeart/2005/8/layout/orgChart1"/>
    <dgm:cxn modelId="{A868A0CE-8AD2-45FD-A9B4-057497CB6014}" type="presParOf" srcId="{FCA2AF89-7FD5-419D-8290-D36A54CD5A43}" destId="{A09A61E3-408E-4329-BA55-3BF9DFA24B4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985C5B-64BC-40DC-AC5F-29188F4ACC93}">
      <dsp:nvSpPr>
        <dsp:cNvPr id="0" name=""/>
        <dsp:cNvSpPr/>
      </dsp:nvSpPr>
      <dsp:spPr>
        <a:xfrm>
          <a:off x="2962275" y="1050135"/>
          <a:ext cx="181869" cy="796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6762"/>
              </a:lnTo>
              <a:lnTo>
                <a:pt x="181869" y="7967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9FA4A1-C6ED-4A34-8287-619A23270FDF}">
      <dsp:nvSpPr>
        <dsp:cNvPr id="0" name=""/>
        <dsp:cNvSpPr/>
      </dsp:nvSpPr>
      <dsp:spPr>
        <a:xfrm>
          <a:off x="2780405" y="1050135"/>
          <a:ext cx="181869" cy="796762"/>
        </a:xfrm>
        <a:custGeom>
          <a:avLst/>
          <a:gdLst/>
          <a:ahLst/>
          <a:cxnLst/>
          <a:rect l="0" t="0" r="0" b="0"/>
          <a:pathLst>
            <a:path>
              <a:moveTo>
                <a:pt x="181869" y="0"/>
              </a:moveTo>
              <a:lnTo>
                <a:pt x="181869" y="796762"/>
              </a:lnTo>
              <a:lnTo>
                <a:pt x="0" y="79676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375BE-E3AA-4753-9BF0-F4506CD790F4}">
      <dsp:nvSpPr>
        <dsp:cNvPr id="0" name=""/>
        <dsp:cNvSpPr/>
      </dsp:nvSpPr>
      <dsp:spPr>
        <a:xfrm>
          <a:off x="2962275" y="1050135"/>
          <a:ext cx="2095831" cy="15935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1654"/>
              </a:lnTo>
              <a:lnTo>
                <a:pt x="2095831" y="1411654"/>
              </a:lnTo>
              <a:lnTo>
                <a:pt x="2095831" y="15935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6699F0-C388-4B03-855D-AE37F1350972}">
      <dsp:nvSpPr>
        <dsp:cNvPr id="0" name=""/>
        <dsp:cNvSpPr/>
      </dsp:nvSpPr>
      <dsp:spPr>
        <a:xfrm>
          <a:off x="2916554" y="1050135"/>
          <a:ext cx="91440" cy="159352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935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3704FD-6291-4F70-BBCB-263C346B25AD}">
      <dsp:nvSpPr>
        <dsp:cNvPr id="0" name=""/>
        <dsp:cNvSpPr/>
      </dsp:nvSpPr>
      <dsp:spPr>
        <a:xfrm>
          <a:off x="866443" y="1050135"/>
          <a:ext cx="2095831" cy="1593524"/>
        </a:xfrm>
        <a:custGeom>
          <a:avLst/>
          <a:gdLst/>
          <a:ahLst/>
          <a:cxnLst/>
          <a:rect l="0" t="0" r="0" b="0"/>
          <a:pathLst>
            <a:path>
              <a:moveTo>
                <a:pt x="2095831" y="0"/>
              </a:moveTo>
              <a:lnTo>
                <a:pt x="2095831" y="1411654"/>
              </a:lnTo>
              <a:lnTo>
                <a:pt x="0" y="1411654"/>
              </a:lnTo>
              <a:lnTo>
                <a:pt x="0" y="159352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1C804D-2230-4563-BE2D-49F8954943F5}">
      <dsp:nvSpPr>
        <dsp:cNvPr id="0" name=""/>
        <dsp:cNvSpPr/>
      </dsp:nvSpPr>
      <dsp:spPr>
        <a:xfrm>
          <a:off x="2096229" y="184089"/>
          <a:ext cx="1732091" cy="866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latin typeface="Calibri" panose="020F0502020204030204" pitchFamily="34" charset="0"/>
            </a:rPr>
            <a:t>Получатели субсидий в 2016 году по видам экономической деятельности </a:t>
          </a:r>
          <a:endParaRPr lang="ru-RU" sz="1100" kern="1200" smtClean="0"/>
        </a:p>
      </dsp:txBody>
      <dsp:txXfrm>
        <a:off x="2096229" y="184089"/>
        <a:ext cx="1732091" cy="866045"/>
      </dsp:txXfrm>
    </dsp:sp>
    <dsp:sp modelId="{A19FE078-1B68-4ABC-B1B6-EBE2DEB768D9}">
      <dsp:nvSpPr>
        <dsp:cNvPr id="0" name=""/>
        <dsp:cNvSpPr/>
      </dsp:nvSpPr>
      <dsp:spPr>
        <a:xfrm>
          <a:off x="397" y="2643659"/>
          <a:ext cx="1732091" cy="866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sng" strike="noStrike" kern="1200" baseline="0" smtClean="0">
              <a:solidFill>
                <a:srgbClr val="2F5496"/>
              </a:solidFill>
              <a:latin typeface="Calibri" panose="020F0502020204030204" pitchFamily="34" charset="0"/>
            </a:rPr>
            <a:t>Строительство</a:t>
          </a:r>
          <a:endParaRPr lang="ru-RU" sz="1100" b="1" i="0" u="sng" strike="noStrike" kern="1200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1 субъект;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сумма 1,0 млн.руб.</a:t>
          </a:r>
          <a:endParaRPr lang="ru-RU" sz="1100" kern="1200" smtClean="0"/>
        </a:p>
      </dsp:txBody>
      <dsp:txXfrm>
        <a:off x="397" y="2643659"/>
        <a:ext cx="1732091" cy="866045"/>
      </dsp:txXfrm>
    </dsp:sp>
    <dsp:sp modelId="{EA50E3A0-482E-47D6-A74A-0ACEA1E81D9D}">
      <dsp:nvSpPr>
        <dsp:cNvPr id="0" name=""/>
        <dsp:cNvSpPr/>
      </dsp:nvSpPr>
      <dsp:spPr>
        <a:xfrm>
          <a:off x="2096229" y="2643659"/>
          <a:ext cx="1732091" cy="866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sng" strike="noStrike" kern="1200" baseline="0" smtClean="0">
              <a:solidFill>
                <a:srgbClr val="2F5496"/>
              </a:solidFill>
              <a:latin typeface="Calibri" panose="020F0502020204030204" pitchFamily="34" charset="0"/>
            </a:rPr>
            <a:t>Торговля, бытовые услуги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11 субъектов;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сумма 2,9 млн.руб.</a:t>
          </a:r>
          <a:endParaRPr lang="ru-RU" sz="1100" kern="1200" smtClean="0"/>
        </a:p>
      </dsp:txBody>
      <dsp:txXfrm>
        <a:off x="2096229" y="2643659"/>
        <a:ext cx="1732091" cy="866045"/>
      </dsp:txXfrm>
    </dsp:sp>
    <dsp:sp modelId="{63043ADB-50B9-4F08-B7EC-524ECBF7B6CB}">
      <dsp:nvSpPr>
        <dsp:cNvPr id="0" name=""/>
        <dsp:cNvSpPr/>
      </dsp:nvSpPr>
      <dsp:spPr>
        <a:xfrm>
          <a:off x="4192060" y="2643659"/>
          <a:ext cx="1732091" cy="866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sng" strike="noStrike" kern="1200" baseline="0" smtClean="0">
              <a:solidFill>
                <a:srgbClr val="2F5496"/>
              </a:solidFill>
              <a:latin typeface="Calibri" panose="020F0502020204030204" pitchFamily="34" charset="0"/>
            </a:rPr>
            <a:t>Прочие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i="0" u="none" strike="noStrike" kern="1200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0" i="0" u="none" strike="noStrike" kern="1200" baseline="0" smtClean="0">
              <a:latin typeface="Calibri" panose="020F0502020204030204" pitchFamily="34" charset="0"/>
            </a:rPr>
            <a:t> </a:t>
          </a: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4 субъектов;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сумма 0,4 млн.руб.</a:t>
          </a:r>
          <a:endParaRPr lang="ru-RU" sz="1100" kern="1200" smtClean="0"/>
        </a:p>
      </dsp:txBody>
      <dsp:txXfrm>
        <a:off x="4192060" y="2643659"/>
        <a:ext cx="1732091" cy="866045"/>
      </dsp:txXfrm>
    </dsp:sp>
    <dsp:sp modelId="{4BB00952-95CB-45F7-9D75-CF7639CB755B}">
      <dsp:nvSpPr>
        <dsp:cNvPr id="0" name=""/>
        <dsp:cNvSpPr/>
      </dsp:nvSpPr>
      <dsp:spPr>
        <a:xfrm>
          <a:off x="1048313" y="1413874"/>
          <a:ext cx="1732091" cy="866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none" strike="noStrike" kern="1200" baseline="0" smtClean="0">
              <a:solidFill>
                <a:srgbClr val="2F5496"/>
              </a:solidFill>
              <a:latin typeface="Calibri" panose="020F0502020204030204" pitchFamily="34" charset="0"/>
            </a:rPr>
            <a:t>Рыбопромышленный комплекс</a:t>
          </a:r>
          <a:endParaRPr lang="ru-RU" sz="1100" b="1" i="0" u="none" strike="noStrike" kern="1200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Times New Roman" panose="02020603050405020304" pitchFamily="18" charset="0"/>
            </a:rPr>
            <a:t> 4 субъекта;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сумма 2,5 млн. руб.</a:t>
          </a:r>
          <a:endParaRPr lang="ru-RU" sz="1100" kern="1200" smtClean="0"/>
        </a:p>
      </dsp:txBody>
      <dsp:txXfrm>
        <a:off x="1048313" y="1413874"/>
        <a:ext cx="1732091" cy="866045"/>
      </dsp:txXfrm>
    </dsp:sp>
    <dsp:sp modelId="{E2D7C87C-BE88-4EB9-9124-22991AA9C096}">
      <dsp:nvSpPr>
        <dsp:cNvPr id="0" name=""/>
        <dsp:cNvSpPr/>
      </dsp:nvSpPr>
      <dsp:spPr>
        <a:xfrm>
          <a:off x="3144144" y="1413874"/>
          <a:ext cx="1732091" cy="8660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0" u="sng" strike="noStrike" kern="1200" baseline="0" smtClean="0">
              <a:solidFill>
                <a:srgbClr val="2F5496"/>
              </a:solidFill>
              <a:latin typeface="Calibri" panose="020F0502020204030204" pitchFamily="34" charset="0"/>
            </a:rPr>
            <a:t>Обрабатывающее производство</a:t>
          </a:r>
          <a:endParaRPr lang="ru-RU" sz="1100" b="1" i="0" u="sng" strike="noStrike" kern="1200" baseline="0" smtClean="0">
            <a:solidFill>
              <a:srgbClr val="2F5496"/>
            </a:solidFill>
            <a:latin typeface="Times New Roman" panose="02020603050405020304" pitchFamily="18" charset="0"/>
          </a:endParaRP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 2 субъекта;</a:t>
          </a:r>
        </a:p>
        <a:p>
          <a:pPr marR="0" lvl="0" algn="l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u="none" strike="noStrike" kern="1200" baseline="0" smtClean="0">
              <a:latin typeface="Calibri" panose="020F0502020204030204" pitchFamily="34" charset="0"/>
            </a:rPr>
            <a:t>  сумма 0,3 млн.руб.</a:t>
          </a:r>
          <a:endParaRPr lang="ru-RU" sz="1100" kern="1200" smtClean="0"/>
        </a:p>
      </dsp:txBody>
      <dsp:txXfrm>
        <a:off x="3144144" y="1413874"/>
        <a:ext cx="1732091" cy="8660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Городская">
    <a:dk1>
      <a:sysClr val="windowText" lastClr="000000"/>
    </a:dk1>
    <a:lt1>
      <a:sysClr val="window" lastClr="FFFFFF"/>
    </a:lt1>
    <a:dk2>
      <a:srgbClr val="424456"/>
    </a:dk2>
    <a:lt2>
      <a:srgbClr val="DEDEDE"/>
    </a:lt2>
    <a:accent1>
      <a:srgbClr val="53548A"/>
    </a:accent1>
    <a:accent2>
      <a:srgbClr val="438086"/>
    </a:accent2>
    <a:accent3>
      <a:srgbClr val="A04DA3"/>
    </a:accent3>
    <a:accent4>
      <a:srgbClr val="C4652D"/>
    </a:accent4>
    <a:accent5>
      <a:srgbClr val="8B5D3D"/>
    </a:accent5>
    <a:accent6>
      <a:srgbClr val="5C92B5"/>
    </a:accent6>
    <a:hlink>
      <a:srgbClr val="67AFBD"/>
    </a:hlink>
    <a:folHlink>
      <a:srgbClr val="C2A874"/>
    </a:folHlink>
  </a:clrScheme>
  <a:fontScheme name="Blank Presentation">
    <a:majorFont>
      <a:latin typeface="Arial"/>
      <a:ea typeface="ヒラギノ角ゴ Pro W3"/>
      <a:cs typeface="ヒラギノ角ゴ Pro W3"/>
    </a:majorFont>
    <a:minorFont>
      <a:latin typeface="Arial"/>
      <a:ea typeface="ヒラギノ角ゴ Pro W3"/>
      <a:cs typeface="ヒラギノ角ゴ Pro W3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Blank Presentation 1">
    <a:dk1>
      <a:srgbClr val="000000"/>
    </a:dk1>
    <a:lt1>
      <a:srgbClr val="FFFFFF"/>
    </a:lt1>
    <a:dk2>
      <a:srgbClr val="000000"/>
    </a:dk2>
    <a:lt2>
      <a:srgbClr val="808080"/>
    </a:lt2>
    <a:accent1>
      <a:srgbClr val="BBE0E3"/>
    </a:accent1>
    <a:accent2>
      <a:srgbClr val="333399"/>
    </a:accent2>
    <a:accent3>
      <a:srgbClr val="FFFFFF"/>
    </a:accent3>
    <a:accent4>
      <a:srgbClr val="000000"/>
    </a:accent4>
    <a:accent5>
      <a:srgbClr val="DAEDEF"/>
    </a:accent5>
    <a:accent6>
      <a:srgbClr val="2D2D8A"/>
    </a:accent6>
    <a:hlink>
      <a:srgbClr val="009999"/>
    </a:hlink>
    <a:folHlink>
      <a:srgbClr val="99CC00"/>
    </a:folHlink>
  </a:clrScheme>
  <a:fontScheme name="Blank Presentation">
    <a:majorFont>
      <a:latin typeface="Arial"/>
      <a:ea typeface="ヒラギノ角ゴ Pro W3"/>
      <a:cs typeface="ヒラギノ角ゴ Pro W3"/>
    </a:majorFont>
    <a:minorFont>
      <a:latin typeface="Arial"/>
      <a:ea typeface="ヒラギノ角ゴ Pro W3"/>
      <a:cs typeface="ヒラギノ角ゴ Pro W3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Городская">
    <a:dk1>
      <a:sysClr val="windowText" lastClr="000000"/>
    </a:dk1>
    <a:lt1>
      <a:sysClr val="window" lastClr="FFFFFF"/>
    </a:lt1>
    <a:dk2>
      <a:srgbClr val="424456"/>
    </a:dk2>
    <a:lt2>
      <a:srgbClr val="DEDEDE"/>
    </a:lt2>
    <a:accent1>
      <a:srgbClr val="53548A"/>
    </a:accent1>
    <a:accent2>
      <a:srgbClr val="438086"/>
    </a:accent2>
    <a:accent3>
      <a:srgbClr val="A04DA3"/>
    </a:accent3>
    <a:accent4>
      <a:srgbClr val="C4652D"/>
    </a:accent4>
    <a:accent5>
      <a:srgbClr val="8B5D3D"/>
    </a:accent5>
    <a:accent6>
      <a:srgbClr val="5C92B5"/>
    </a:accent6>
    <a:hlink>
      <a:srgbClr val="67AFBD"/>
    </a:hlink>
    <a:folHlink>
      <a:srgbClr val="C2A874"/>
    </a:folHlink>
  </a:clrScheme>
  <a:fontScheme name="Blank Presentation">
    <a:majorFont>
      <a:latin typeface="Arial"/>
      <a:ea typeface="ヒラギノ角ゴ Pro W3"/>
      <a:cs typeface="ヒラギノ角ゴ Pro W3"/>
    </a:majorFont>
    <a:minorFont>
      <a:latin typeface="Arial"/>
      <a:ea typeface="ヒラギノ角ゴ Pro W3"/>
      <a:cs typeface="ヒラギノ角ゴ Pro W3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Городская">
    <a:dk1>
      <a:sysClr val="windowText" lastClr="000000"/>
    </a:dk1>
    <a:lt1>
      <a:sysClr val="window" lastClr="FFFFFF"/>
    </a:lt1>
    <a:dk2>
      <a:srgbClr val="424456"/>
    </a:dk2>
    <a:lt2>
      <a:srgbClr val="DEDEDE"/>
    </a:lt2>
    <a:accent1>
      <a:srgbClr val="53548A"/>
    </a:accent1>
    <a:accent2>
      <a:srgbClr val="438086"/>
    </a:accent2>
    <a:accent3>
      <a:srgbClr val="A04DA3"/>
    </a:accent3>
    <a:accent4>
      <a:srgbClr val="C4652D"/>
    </a:accent4>
    <a:accent5>
      <a:srgbClr val="8B5D3D"/>
    </a:accent5>
    <a:accent6>
      <a:srgbClr val="5C92B5"/>
    </a:accent6>
    <a:hlink>
      <a:srgbClr val="67AFBD"/>
    </a:hlink>
    <a:folHlink>
      <a:srgbClr val="C2A874"/>
    </a:folHlink>
  </a:clrScheme>
  <a:fontScheme name="Blank Presentation">
    <a:majorFont>
      <a:latin typeface="Arial"/>
      <a:ea typeface="ヒラギノ角ゴ Pro W3"/>
      <a:cs typeface="ヒラギノ角ゴ Pro W3"/>
    </a:majorFont>
    <a:minorFont>
      <a:latin typeface="Arial"/>
      <a:ea typeface="ヒラギノ角ゴ Pro W3"/>
      <a:cs typeface="ヒラギノ角ゴ Pro W3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Городская">
    <a:dk1>
      <a:sysClr val="windowText" lastClr="000000"/>
    </a:dk1>
    <a:lt1>
      <a:sysClr val="window" lastClr="FFFFFF"/>
    </a:lt1>
    <a:dk2>
      <a:srgbClr val="424456"/>
    </a:dk2>
    <a:lt2>
      <a:srgbClr val="DEDEDE"/>
    </a:lt2>
    <a:accent1>
      <a:srgbClr val="53548A"/>
    </a:accent1>
    <a:accent2>
      <a:srgbClr val="438086"/>
    </a:accent2>
    <a:accent3>
      <a:srgbClr val="A04DA3"/>
    </a:accent3>
    <a:accent4>
      <a:srgbClr val="C4652D"/>
    </a:accent4>
    <a:accent5>
      <a:srgbClr val="8B5D3D"/>
    </a:accent5>
    <a:accent6>
      <a:srgbClr val="5C92B5"/>
    </a:accent6>
    <a:hlink>
      <a:srgbClr val="67AFBD"/>
    </a:hlink>
    <a:folHlink>
      <a:srgbClr val="C2A874"/>
    </a:folHlink>
  </a:clrScheme>
  <a:fontScheme name="Blank Presentation">
    <a:majorFont>
      <a:latin typeface="Arial"/>
      <a:ea typeface="ヒラギノ角ゴ Pro W3"/>
      <a:cs typeface="ヒラギノ角ゴ Pro W3"/>
    </a:majorFont>
    <a:minorFont>
      <a:latin typeface="Arial"/>
      <a:ea typeface="ヒラギノ角ゴ Pro W3"/>
      <a:cs typeface="ヒラギノ角ゴ Pro W3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Городская">
    <a:dk1>
      <a:sysClr val="windowText" lastClr="000000"/>
    </a:dk1>
    <a:lt1>
      <a:sysClr val="window" lastClr="FFFFFF"/>
    </a:lt1>
    <a:dk2>
      <a:srgbClr val="424456"/>
    </a:dk2>
    <a:lt2>
      <a:srgbClr val="DEDEDE"/>
    </a:lt2>
    <a:accent1>
      <a:srgbClr val="53548A"/>
    </a:accent1>
    <a:accent2>
      <a:srgbClr val="438086"/>
    </a:accent2>
    <a:accent3>
      <a:srgbClr val="A04DA3"/>
    </a:accent3>
    <a:accent4>
      <a:srgbClr val="C4652D"/>
    </a:accent4>
    <a:accent5>
      <a:srgbClr val="8B5D3D"/>
    </a:accent5>
    <a:accent6>
      <a:srgbClr val="5C92B5"/>
    </a:accent6>
    <a:hlink>
      <a:srgbClr val="67AFBD"/>
    </a:hlink>
    <a:folHlink>
      <a:srgbClr val="C2A874"/>
    </a:folHlink>
  </a:clrScheme>
  <a:fontScheme name="Blank Presentation">
    <a:majorFont>
      <a:latin typeface="Arial"/>
      <a:ea typeface="ヒラギノ角ゴ Pro W3"/>
      <a:cs typeface="ヒラギノ角ゴ Pro W3"/>
    </a:majorFont>
    <a:minorFont>
      <a:latin typeface="Arial"/>
      <a:ea typeface="ヒラギノ角ゴ Pro W3"/>
      <a:cs typeface="ヒラギノ角ゴ Pro W3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49</Pages>
  <Words>10966</Words>
  <Characters>62508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В. Кононенко</dc:creator>
  <cp:keywords/>
  <dc:description/>
  <cp:lastModifiedBy>Галина В. Кононенко</cp:lastModifiedBy>
  <cp:revision>8</cp:revision>
  <dcterms:created xsi:type="dcterms:W3CDTF">2017-03-22T23:07:00Z</dcterms:created>
  <dcterms:modified xsi:type="dcterms:W3CDTF">2017-11-15T01:38:00Z</dcterms:modified>
</cp:coreProperties>
</file>