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ДОКЛАД</w:t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достигнутых значениях показателей</w:t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оценки эффективности деятельности</w:t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органов местного самоуправления МО «Городской округ Ногликский»</w:t>
      </w:r>
    </w:p>
    <w:p>
      <w:pPr>
        <w:pStyle w:val="Normal"/>
        <w:spacing w:lineRule="auto" w:line="360"/>
        <w:jc w:val="center"/>
        <w:rPr>
          <w:bCs/>
          <w:color w:val="C00000"/>
          <w:sz w:val="28"/>
          <w:szCs w:val="28"/>
        </w:rPr>
      </w:pPr>
      <w:r>
        <w:rPr>
          <w:b/>
          <w:bCs/>
          <w:sz w:val="28"/>
          <w:szCs w:val="28"/>
        </w:rPr>
        <w:t>за 2018 год и их планируемых значениях на 3-летний период</w:t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Муниципальное образование «Городской округ Ногликский» является правопреемником Восточно-Сахалинского (1930 год), Ногликского (1965 год) районов. </w:t>
      </w:r>
    </w:p>
    <w:p>
      <w:pPr>
        <w:pStyle w:val="Normal"/>
        <w:spacing w:lineRule="auto" w: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На западе муниципальное образование граничит с муниципальными образованиями Городской округ «Александровск – Сахалинский район» и «Тымовский городской округ», на юге - с городским округом «Смирныховский», на севере - с городским округом «Охинский» и на востоке границей является побережье Охотского моря.</w:t>
      </w:r>
    </w:p>
    <w:p>
      <w:pPr>
        <w:pStyle w:val="Normal"/>
        <w:spacing w:lineRule="auto" w: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 состав территории муниципального образования входят следующие населенные пункты:</w:t>
      </w:r>
    </w:p>
    <w:p>
      <w:pPr>
        <w:pStyle w:val="Normal"/>
        <w:spacing w:lineRule="auto" w: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поселок городского типа Ноглики – районный центр;</w:t>
      </w:r>
    </w:p>
    <w:p>
      <w:pPr>
        <w:pStyle w:val="Normal"/>
        <w:spacing w:lineRule="auto" w: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села: Вал, Венское, Горячие Ключи, Даги, Катангли, Комрво, Морской Пильтун, Ныш, Ныш-2, Чайво, Эвай, из них согласно данным Сахалинстата отсутствует население в селах: Горячие Ключи, Даги, Морской Пильтун, Чайво, Эвай.</w:t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Численность постоянного населения на 01.01.2018 составила 11,32 тыс. человек.</w:t>
      </w:r>
    </w:p>
    <w:p>
      <w:pPr>
        <w:pStyle w:val="Normal"/>
        <w:spacing w:lineRule="auto" w:line="360"/>
        <w:ind w:firstLine="708"/>
        <w:jc w:val="both"/>
        <w:rPr/>
      </w:pPr>
      <w:r>
        <w:rPr>
          <w:bCs/>
          <w:sz w:val="28"/>
          <w:szCs w:val="28"/>
        </w:rPr>
        <w:t xml:space="preserve">Доклад о достигнутых значениях показателей для оценки эффективности деятельности органов местного самоуправления МО «Городской округ Ногликский» за отчетный год и их планируемых значениях на 3-летний период размещается на официальном сайте муниципального образования: </w:t>
      </w:r>
      <w:hyperlink r:id="rId2">
        <w:r>
          <w:rPr>
            <w:rStyle w:val="Style16"/>
            <w:bCs/>
            <w:sz w:val="28"/>
            <w:szCs w:val="28"/>
          </w:rPr>
          <w:t>www.nogliki-adm.ru</w:t>
        </w:r>
      </w:hyperlink>
      <w:r>
        <w:rPr>
          <w:bCs/>
          <w:sz w:val="28"/>
          <w:szCs w:val="28"/>
        </w:rPr>
        <w:t>.</w:t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Работа по оценке эффективности деятельности органов местного самоуправления ведется в соответствии с Указом Президента Российской Федерации от 28.04.2008 № 607 «Об оценке эффективности органов местного самоуправления городских округов и муниципальных районов», постановлением Правительства Российской Федерации от 17.12.2012 № 1317 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г. № 601 «Об основных направлениях совершенствования системы государственного управления» и на основании распоряжения Правительства Сахалинской области от 18.03.2013 № 173-р «Об оценке эффективности деятельности органов местного самоуправления городских округов и муниципальных районов Сахалинской области».</w:t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 «Экономическое развитие»</w:t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 образование «Городской округ Ногликский» занимает лидирующее место в Сахалинской области по основным макроэкономическим показателям: объему промышленного производства, в т. ч. на душу населения, уровню заработной платы, объемам розничного товарооборота и общественного питания, платных и бытовых услуг, объему инвестиций в основной капитал за счет всех источников финансирования.</w:t>
      </w:r>
    </w:p>
    <w:p>
      <w:pPr>
        <w:pStyle w:val="Normal"/>
        <w:spacing w:lineRule="auto" w:line="360"/>
        <w:ind w:firstLine="561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Объем промышленного производства в стоимостном выражении за 2018 год сложился с ростом на 63,1% и составил 631,9 млрд.рублей (факт 2017 года - 387,4 млрд.рублей). </w:t>
      </w:r>
      <w:r>
        <w:rPr>
          <w:sz w:val="28"/>
          <w:szCs w:val="28"/>
          <w:shd w:fill="FFFFFF" w:val="clear"/>
        </w:rPr>
        <w:t xml:space="preserve">В отчетном году объем промышленного производства предприятий и компаний городского округа обеспечил формирование </w:t>
      </w:r>
      <w:r>
        <w:rPr>
          <w:sz w:val="28"/>
          <w:szCs w:val="28"/>
        </w:rPr>
        <w:t xml:space="preserve">общего объема промышленного производства всей Сахалинской области </w:t>
      </w:r>
      <w:r>
        <w:rPr>
          <w:sz w:val="28"/>
          <w:szCs w:val="28"/>
          <w:shd w:fill="FFFFFF" w:val="clear"/>
        </w:rPr>
        <w:t>более, чем на 55%</w:t>
      </w:r>
      <w:r>
        <w:rPr>
          <w:sz w:val="28"/>
          <w:szCs w:val="28"/>
        </w:rPr>
        <w:t xml:space="preserve">. </w:t>
      </w:r>
    </w:p>
    <w:p>
      <w:pPr>
        <w:pStyle w:val="Normal"/>
        <w:spacing w:lineRule="auto" w:line="360"/>
        <w:ind w:firstLine="561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Основные параметры развития </w:t>
      </w:r>
      <w:r>
        <w:rPr>
          <w:bCs/>
          <w:iCs/>
          <w:sz w:val="28"/>
          <w:szCs w:val="28"/>
        </w:rPr>
        <w:t>нефтегазодобывающей отрасли,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которая традиционно является лидером промышленного производства в городском округе, </w:t>
      </w:r>
      <w:r>
        <w:rPr>
          <w:bCs/>
          <w:iCs/>
          <w:sz w:val="28"/>
          <w:szCs w:val="28"/>
        </w:rPr>
        <w:t>в 2018 году характеризуются следующими показателями:</w:t>
      </w:r>
    </w:p>
    <w:p>
      <w:pPr>
        <w:pStyle w:val="Normal"/>
        <w:spacing w:lineRule="auto" w:line="36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В стоимостном выражении объем производства сырья к уровню прошлого года возрос в 63,4%;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натуральном выражении объемы добычи углеводородов составили: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нефть, включая газовый конденсат – 109,1% к ровню прошлого года;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газ природный и попутный - 107,5% к уровню прошлого года.</w:t>
      </w:r>
    </w:p>
    <w:p>
      <w:pPr>
        <w:pStyle w:val="Normal"/>
        <w:spacing w:lineRule="auto" w:line="3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Объем добычи углеводородов в границах городского округа, более, чем на 95% по нефти и на 99% по газу формирует объемы добычи углеводородного сырья всей Сахалинской области.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выработки энергоресурсов в 2018 году определялись с учетом их спроса у потребителей, в том числе компаний занятых добычей углеводородов, и к уровню прошлого года в натуральном выражении составили: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электроэнергии – рост в 1,1 раза;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тепловой энергии -  рост в 4,4 раза.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Рыбопромышленный комплекс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 тридцатью хозяйствующими субъектами, из которых четыре, наиболее крупные компании, заняты прибрежным рыболовством: ООО «Ловец», ООО «Даги», ООО «Ирида», ООО «Восток-Ноглики».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акватории, прилегающей к МО «Городской округ Ногликский» имеется 64 рыбопромысловых участка, предназначенных для промышленного рыболовства, прибрежного рыболовства, и организации любительского и спортивного рыболовства. На данных участках осуществляется вылов следующих основных объектов водных биологических ресурсов: горбуша, кета, камбала и прочие виды ВБР (бычок, сельдь, корюшка, голец, кунджа). 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рыбодобывающими предприятиями на промысловых участках, расположенных на территории муниципального образования выловлено 13 560,2 тонн рыбы (за аналогичный период прошлого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года 5 266,8 тонн).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Предприятия рыбопромышленного комплекса оказывали благотворительную помощь социально-незащищенной группе населения в виде бесплатной раздачи рыбы. За путину 2018 года было передано населению 7,0 тонн голов горбуши и 4,8 тонн горбуши свежей предприятиями ООО «Ловец» и ООО «Нампи». Дополнительно ООО «Даги» безвозмездно передало неработающим пенсионерам 2,6 тонн сельди. </w:t>
      </w:r>
    </w:p>
    <w:p>
      <w:pPr>
        <w:pStyle w:val="Normal"/>
        <w:spacing w:lineRule="auto" w:line="36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Два рыбодобыващих предприятия являются участниками проекта «Доступная рыба» (ООО «Ловец» и ООО «Ирида»). Предприятия поставляли рыбную продукцию в розничную сеть и участвовали в выездных ярмарках выходного дня.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заготовки леса компаниями, ведущими разработку лесосек на условиях договоров аренды в 2018 году снизился на 16,6% и составил 38,6 тыс.куб.м. (факт 2017 г. – 46,3 тыс.куб.м.), производство лесоматериалов составило 76,7% к уровню прошлого года. </w:t>
      </w:r>
    </w:p>
    <w:p>
      <w:pPr>
        <w:pStyle w:val="Normal"/>
        <w:suppressAutoHyphens w:val="true"/>
        <w:overflowPunct w:val="true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В МО пищевая и перерабатывающая промышленность представлена 5 предприятиями по производству хлебобулочных и кондитерских изделий. </w:t>
      </w:r>
      <w:r>
        <w:fldChar w:fldCharType="begin"/>
      </w:r>
      <w:r>
        <w:rPr/>
        <w:instrText>LINK Excel.Sheet.12 "\\\\aso-pg-08\\Exchange\\Отдел развития промышленности\\РЕЕСТРЫ ППП\\реестры 2017 год\\Копия = РЕЕСТР на 01.01.2017.xlsx" "Лист3!R2C1:R9C5" \a \f 4 \h  \* MERGEFORMAT</w:instrText>
      </w:r>
      <w:r>
        <w:rPr/>
        <w:fldChar w:fldCharType="separate"/>
      </w:r>
      <w:bookmarkStart w:id="0" w:name="Bookmark"/>
      <w:r>
        <w:rPr/>
      </w:r>
      <w:r>
        <w:rPr/>
      </w:r>
      <w:r>
        <w:rPr/>
        <w:fldChar w:fldCharType="end"/>
      </w:r>
      <w:bookmarkEnd w:id="0"/>
    </w:p>
    <w:p>
      <w:pPr>
        <w:pStyle w:val="Normal"/>
        <w:suppressAutoHyphens w:val="true"/>
        <w:overflowPunct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2018 год предприятиями муниципального образования </w:t>
      </w:r>
      <w:r>
        <w:rPr>
          <w:b/>
          <w:bCs/>
          <w:i/>
          <w:sz w:val="28"/>
          <w:szCs w:val="28"/>
        </w:rPr>
        <w:t>произведено</w:t>
      </w:r>
      <w:r>
        <w:rPr>
          <w:bCs/>
          <w:sz w:val="28"/>
          <w:szCs w:val="28"/>
        </w:rPr>
        <w:t>:</w:t>
      </w:r>
    </w:p>
    <w:p>
      <w:pPr>
        <w:pStyle w:val="Normal"/>
        <w:suppressAutoHyphens w:val="true"/>
        <w:overflowPunct w:val="true"/>
        <w:spacing w:lineRule="auto" w: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хлеба и хлебобулочных изделий – 574,3 тонны или 101,7% к 2017 году, в том числе диетических изделий – 2,6 тонны, кондитерских изделий – 36 тонн, что на 6,7% ниже чем в 2017 году. </w:t>
      </w:r>
    </w:p>
    <w:p>
      <w:pPr>
        <w:pStyle w:val="Normal"/>
        <w:spacing w:lineRule="auto" w:line="3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2018 году предприятиями расширен ассортиментный перечень выпускаемой продукции на 21 наименование хлебобулочных и кондитерских изделий.</w:t>
      </w:r>
    </w:p>
    <w:p>
      <w:pPr>
        <w:pStyle w:val="Normal"/>
        <w:suppressAutoHyphens w:val="true"/>
        <w:overflowPunct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2018 году государственную поддержку получило предприятие ООО «Пекарь» в сумме 13,212 млн.рублей, в том числе: </w:t>
      </w:r>
    </w:p>
    <w:p>
      <w:pPr>
        <w:pStyle w:val="Normal"/>
        <w:suppressAutoHyphens w:val="true"/>
        <w:overflowPunct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субсидии по возмещению затрат на перевозку муки для осуществления производственной деятельности – 0,68 млн.руб.; </w:t>
      </w:r>
    </w:p>
    <w:p>
      <w:pPr>
        <w:pStyle w:val="Normal"/>
        <w:suppressAutoHyphens w:val="true"/>
        <w:overflowPunct w:val="true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субсидии на развитие пищевой и перерабатывающей промышленности, на возмещение затрат, связанных с приобретением оборудования – 12,532 млн.рублей.</w:t>
      </w:r>
    </w:p>
    <w:p>
      <w:pPr>
        <w:pStyle w:val="Normal"/>
        <w:suppressAutoHyphens w:val="true"/>
        <w:overflowPunct w:val="true"/>
        <w:spacing w:lineRule="auto" w:line="360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Сеть социально ориентированной торговли</w:t>
      </w:r>
    </w:p>
    <w:p>
      <w:pPr>
        <w:pStyle w:val="Normal"/>
        <w:spacing w:lineRule="auto" w:line="36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 состоянию на 01 января 2019 года в пгт. Ноглики действуют 3 социальных объекта торговли: магазин «Олимпик» ООО «Плутон», магазин «Визит» ИП Абрамов М.Ю. и магазин «Вестник-2» ИП Мохов П.А.</w:t>
      </w:r>
    </w:p>
    <w:p>
      <w:pPr>
        <w:pStyle w:val="Normal"/>
        <w:spacing w:lineRule="auto" w:line="3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ассортиментный перечень включено 24 наименования продуктов питания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торговая наценка на которые составляет от 10 до 15%, транспортные расходы по доставке продуктов питания не превышают 7 руб./кг.</w:t>
      </w:r>
    </w:p>
    <w:p>
      <w:pPr>
        <w:pStyle w:val="Normal"/>
        <w:spacing w:lineRule="auto" w:line="3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Социальными предприятиями заключены договора с ГКУ «Центр социальной поддержки Сахалинской области» о предоставлении набора продуктов питания малоимущим семьям с детьми.</w:t>
      </w:r>
    </w:p>
    <w:p>
      <w:pPr>
        <w:pStyle w:val="Normal"/>
        <w:spacing w:lineRule="auto" w:line="3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государственной поддержки на возмещение затрат, связанных с деятельностью социально-ориентированных объектов за 2018 год, составил 1,5 млн.руб.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селе Катангли осуществляется выездной формат мобильной торговли по заявкам населения. </w:t>
      </w:r>
    </w:p>
    <w:p>
      <w:pPr>
        <w:pStyle w:val="Normal"/>
        <w:spacing w:lineRule="auto" w:lin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«Региональный продукт» </w:t>
      </w:r>
    </w:p>
    <w:p>
      <w:pPr>
        <w:pStyle w:val="Normal"/>
        <w:spacing w:lineRule="auto" w:line="3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реестр участников проекта «Региональный продукт» включены 2 предприятия розничной торговли: ООО «Плутон» (магазин «Олимпик») и ИП Мохов П.А. (магазин «Вестник-2»). В соответствии с заключенными Соглашениями между администрацией МО и хозяйствующими субъектами, последние обеспечивают наличие в продаже до 26 наименований продукции Сахалинских товаропроизводителей по социальным ценам. </w:t>
      </w:r>
    </w:p>
    <w:p>
      <w:pPr>
        <w:pStyle w:val="Normal"/>
        <w:overflowPunct w:val="true"/>
        <w:spacing w:lineRule="auto" w:line="36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«Региональный продукт «Доступная рыба» </w:t>
      </w:r>
    </w:p>
    <w:p>
      <w:pPr>
        <w:pStyle w:val="NoSpacing"/>
        <w:spacing w:lineRule="auto" w:line="360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Проект базируется на обеспечении заключения прямых договоров между хозяйствующими субъектами рыбохозяйственного комплекса и торговли, применения минимальной торговой наценки.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В настоящее время в реестр участников Регионального проекта «Доступная рыба» в МО включены 6 хозяйствующих субъектов розничной торговли, имеющих 7 магазинов. Ассортиментный перечень доступной рыбопродукции включает в себя 7 наименований свежемороженой рыбы и 3 наименования рыбных консервов.</w:t>
      </w:r>
    </w:p>
    <w:p>
      <w:pPr>
        <w:pStyle w:val="NoSpacing"/>
        <w:spacing w:lineRule="auto" w:line="360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Объем реализации доступной рыбы за 2018 год составил 14 тонн. реализация данной продукции производится по ценам, учитывающим торговую надбавку в размере не выше 15%, и транспортных расходов, не превышающих 7 руб./кг.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муниципального образования предоставлена мера поддержки по снижению корректирующего коэффициента базовой доходности К2 и ставки единого налога на вмененный доход (ЕНВД) хозяйствующим субъектам розничной торговли - участникам проекта «Доступная рыба» (размер поддержки составил 372,5 тыс. руб.).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1 «Число субъектов малого и среднего предпринимательства в расчете на 10 тыс. человек населения»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данным Единого реестра субъектов малого и среднего предпринимательства количество субъектов малого и среднего предпринимательства (МиСП) с учетом индивидуальных предпринимателей в 2016 г. составило 385 единиц, в 2017 г. – 403 единицы, в 2018 г. – 406.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расчете на 10 тыс. человек населения данный показатель соответственно составил 339,9 единиц, 356 и 358,2 единицы. Рост показателя связан с увеличением числа субъектов МиСП. </w:t>
      </w:r>
    </w:p>
    <w:p>
      <w:pPr>
        <w:pStyle w:val="Normal"/>
        <w:spacing w:lineRule="auto" w:line="3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Снижение фактического показателя в 2018 году к плановому значению (359,2) произошло вследствие увеличения численности населения МО на конец отчетного периода. Плановый показатель формировался при прогнозируемой численности населения в 11 303 чел., фактическая численность на конец 2018 года – 11 333 человека.  При этом, прогнозный показатель количества субъектов МиСП и фактический оказались равны и составили 406 единиц.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прогнозируемом периоде ожидается увеличение показателя: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г. - 361,3 единицы;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г. – 363,1 единицы;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021 г. – 364,9 единиц.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 показателя в прогнозируемом периоде обусловлен незначительным увеличением числа субъектов малого предпринимательства при незначительном снижении численности населения МО.</w:t>
      </w:r>
    </w:p>
    <w:p>
      <w:pPr>
        <w:pStyle w:val="Normal"/>
        <w:spacing w:lineRule="auto" w:line="36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</w:t>
      </w:r>
      <w:r>
        <w:rPr>
          <w:sz w:val="28"/>
          <w:szCs w:val="28"/>
        </w:rPr>
        <w:t xml:space="preserve"> 2</w:t>
      </w:r>
      <w:r>
        <w:rPr>
          <w:b/>
          <w:i/>
          <w:sz w:val="28"/>
          <w:szCs w:val="28"/>
        </w:rPr>
        <w:t xml:space="preserve">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занятых в малом и среднем бизнесе (без учета индивидуальных предпринимателей) в 2016 году составила 11,7%, в 2017 году – 11,9%, в 2018 году - 12,0% от общего числа занятых в муниципальном образовании. В плановом периоде ожидается увеличение доли занятых на малых и средних предприятиях до 12,1% в 2019 году, до 12,2% в 2020 году и 12,3% в 2021 году за счет увеличения численности работающих как в малом и среднем бизнесе, так и в муниципальном образовании в целом.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условиях, сложившихся в целом в российской экономике, необходимость поддержки малого предпринимательства с использованием финансовых инструментов приобретает все большее значение. На территории городского округа принята и реализуется подпрограмма «Развитие малого и среднего предпринимательства в муниципальном образовании «Городской округ Ногликский». В отчетном году на реализацию муниципальной подпрограммы по развитию малого и среднего предпринимательства направлено 2,8 млн.рублей, из них 0,2 млн.рублей – средства местного бюджета, 2,6 млн.рублей – средства областного бюджета. Финансовая поддержка оказана 9 субъектам предпринимательства.</w:t>
      </w:r>
    </w:p>
    <w:p>
      <w:pPr>
        <w:pStyle w:val="Normal"/>
        <w:spacing w:lineRule="auto" w:line="36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3 «Объем инвестиций в основной капитал (за исключением бюджетных средств) в расчете на 1 жителя»</w:t>
      </w:r>
    </w:p>
    <w:p>
      <w:pPr>
        <w:pStyle w:val="Normal"/>
        <w:spacing w:lineRule="auto" w:line="36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sz w:val="28"/>
          <w:szCs w:val="28"/>
        </w:rPr>
        <w:t>собенность отраслевого развития промышленного сектора экономики городского округа, связанная с развитием нефтегазового сектора, на протяжении ряда лет оказывает существенное влияние на формирование инвестиционной ситуации в муниципальном образовании. В период 2019 – 2021 годов тенденция формирования общего объема инвестиций за счет инвестиций, привлеченных в шельфовые проекты нефтегазового сектора, сохранится.</w:t>
      </w:r>
    </w:p>
    <w:p>
      <w:pPr>
        <w:pStyle w:val="Normal"/>
        <w:widowControl w:val="false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показателя «Объем инвестиций в основной капитал (за исключением бюджетных средств) в расчете на одного жителя» в этом периоде сохранится на высоком уровне. По данным Сахалинстата </w:t>
      </w:r>
      <w:r>
        <w:rPr>
          <w:iCs/>
          <w:sz w:val="28"/>
          <w:szCs w:val="28"/>
        </w:rPr>
        <w:t xml:space="preserve">значение данного показателя в 2018 году </w:t>
      </w:r>
      <w:r>
        <w:rPr>
          <w:sz w:val="28"/>
          <w:szCs w:val="28"/>
        </w:rPr>
        <w:t>в расчете на одного жителя городского округа составило 10 553 730,0 руб. /чел. (факт 2017 года – 9 487 190,0 руб./чел., 2016 года - 10 939 916,0 руб./чел.).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период 2019-2021 гг. планируемое значение показателя «</w:t>
      </w:r>
      <w:r>
        <w:rPr>
          <w:iCs/>
          <w:sz w:val="28"/>
          <w:szCs w:val="28"/>
        </w:rPr>
        <w:t>о</w:t>
      </w:r>
      <w:r>
        <w:rPr>
          <w:sz w:val="28"/>
          <w:szCs w:val="28"/>
        </w:rPr>
        <w:t xml:space="preserve">бъем инвестиций в основной капитал (за исключением бюджетных средств) в расчете на 1 жителя» в муниципальном образовании составит: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2019 году -  11 032 600,0 руб./чел., 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2020 году – 11 484 000,0 руб./чел., 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2021 году – 11 837 000,0 руб./чел.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Зависимость показателя от корректировки инвестиционных планов предприятий-участников проектов нефтегазового сектора сохранится.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2019 и до 2021 года году рост деловой активности и инвестиционной привлекательности в муниципальном образовании, сохранится в сфере добычи углеводородов (проекты «Сахалин 1», «Сахалин-2», «Сахалин-3», добыча углеводородов на суше о.Сахалин).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заявленный период за счет привлечения частных инвестиций развитие местной экономики будет обеспечено развитием: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рыбопромышленного комплекса – модернизация действующих и строительство новых мощностей по переработки ВБР;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сферы потребительского рынка – строительство новых мощностей по производству продуктов питания, строительство объектов гостиничного хозяйства и автосервиса.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оперативным данным объем инвестиционных потоков в этих сферах в совокупности составит от 100 до 150 млн.рублей в год.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полномочий, определенных действующим законодательством, деятельность органов местного самоуправления направлена на создание благоприятных условий для привлечение инвестиций в экономику городского округа и сохранение мер поддержки малого бизнеса в рамках реализации мероприятий муниципальных программы «Развитие инвестиционного потенциала муниципального образования «Городской округ Ногликский» и «Стимулирование экономической активности в муниципальном образовании «Городской округ Ногликский». 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Показатель 4 «Доля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площади земельных участков, являющихся объектами налогообложения земельным налогом, в общей площади территории городского округа в 2016 году составила 8,6%, в 2017 году – 14,32% и факт 2018 года – 15,0%. Данный показатель изменился по отношению к прошлому году в сторону увеличения за счет обращений по оформлению земельных участков, относящихся к неразграниченной собственности, в собственность за плату.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поступающими заявлениями о передаче земельных участков в собственность в 2019 году предполагается увеличение доли площади земельных участков, являющихся объектами налогообложения, до 16%, в 2020 году – до 17%, в 2021 году – до 18%.</w:t>
      </w:r>
    </w:p>
    <w:p>
      <w:pPr>
        <w:pStyle w:val="Normal"/>
        <w:spacing w:lineRule="auto" w:line="360"/>
        <w:ind w:firstLine="709"/>
        <w:jc w:val="both"/>
        <w:rPr>
          <w:b/>
          <w:b/>
          <w:i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Показатель 5 «Доля прибыльных сельскохозяйственных организаций в общем их числе»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Отрасль сельское хозяйство в муниципальном образовании в 2018 году представляли два крестьянских (фермерских) хозяйства и 869 личных подсобных хозяйств граждан. Сельскохозяйственные организации в МО отсутствуют.</w:t>
      </w:r>
    </w:p>
    <w:p>
      <w:pPr>
        <w:pStyle w:val="Normal"/>
        <w:tabs>
          <w:tab w:val="clear" w:pos="708"/>
          <w:tab w:val="left" w:pos="3650" w:leader="none"/>
          <w:tab w:val="center" w:pos="4677" w:leader="none"/>
          <w:tab w:val="left" w:pos="6730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прогнозируемом периоде создание сельскохозяйственных организаций не планируется, плановый показатель на 2019-2021 годы – 0%. </w:t>
      </w:r>
    </w:p>
    <w:p>
      <w:pPr>
        <w:pStyle w:val="Normal"/>
        <w:spacing w:lineRule="auto" w:line="360"/>
        <w:jc w:val="both"/>
        <w:rPr>
          <w:b/>
          <w:b/>
          <w:i/>
          <w:i/>
          <w:sz w:val="28"/>
          <w:szCs w:val="28"/>
        </w:rPr>
      </w:pPr>
      <w:r>
        <w:rPr>
          <w:color w:val="C00000"/>
          <w:sz w:val="28"/>
          <w:szCs w:val="28"/>
        </w:rPr>
        <w:t xml:space="preserve"> </w:t>
      </w:r>
      <w:r>
        <w:rPr>
          <w:b/>
          <w:i/>
          <w:color w:val="C00000"/>
          <w:sz w:val="28"/>
          <w:szCs w:val="28"/>
        </w:rPr>
        <w:tab/>
      </w:r>
      <w:r>
        <w:rPr>
          <w:b/>
          <w:i/>
          <w:sz w:val="28"/>
          <w:szCs w:val="28"/>
        </w:rPr>
        <w:t>Показатель 6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</w:r>
    </w:p>
    <w:p>
      <w:pPr>
        <w:pStyle w:val="Normal"/>
        <w:spacing w:lineRule="auto" w:line="36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Доля автомобильных дорог, не отвечающих нормативным требованиям, в 2018 году равна – 0%, так как в</w:t>
      </w:r>
      <w:r>
        <w:rPr>
          <w:color w:val="000000"/>
          <w:sz w:val="28"/>
          <w:szCs w:val="28"/>
        </w:rPr>
        <w:t xml:space="preserve"> настоящее время отсутствует заключение специализированной организации о дорогах с твердым (и грунтовым) покрытием, не отвечающих нормативным требованиям.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2018 года подрядными организациями (ООО «Антей», МУП «Управляющая организация «Ноглики», ООО «Лесное», НГУП «Дорожник») были выполнены работы по содержанию улично-дорожной сети и дорог общего пользования местного значения, а именно: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установлено дорожных знаков на металлических стойках – 151 шт.;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спилено деревьев – 120 шт.;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вырублено кустарника и подлеска – 1,25 га;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нанесено линий дорожной разметки – 63,8 км.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ямочный ремонт улично-дорожной сети пгт. Ноглики - 600 кв. м.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2019-2021 годов в рамках выполнения муниципальной программы "Развитие инфраструктуры и благоустройство населенных пунктов МО «Городской округ Ногликский» в муниципальном образовании продолжатся работы по содержанию и капитальному ремонту улично-дорожной сети и дорог общего пользования местного значения. Прогнозируемый показатель на 2019 – 2021 годы доли протяженности автомобильных дорог, не отвечающих нормативным требованиям, в общей протяженности дорог составит 0%.</w:t>
      </w:r>
    </w:p>
    <w:p>
      <w:pPr>
        <w:pStyle w:val="Normal"/>
        <w:spacing w:lineRule="auto" w:line="360"/>
        <w:ind w:firstLine="567"/>
        <w:jc w:val="both"/>
        <w:rPr>
          <w:rStyle w:val="Strong"/>
          <w:bCs w:val="false"/>
          <w:i/>
          <w:i/>
          <w:iCs/>
          <w:sz w:val="28"/>
          <w:szCs w:val="28"/>
        </w:rPr>
      </w:pPr>
      <w:r>
        <w:rPr>
          <w:rStyle w:val="Strong"/>
          <w:bCs w:val="false"/>
          <w:i/>
          <w:iCs/>
          <w:sz w:val="28"/>
          <w:szCs w:val="28"/>
        </w:rPr>
        <w:t xml:space="preserve">    </w:t>
      </w:r>
      <w:r>
        <w:rPr>
          <w:rStyle w:val="Strong"/>
          <w:bCs w:val="false"/>
          <w:i/>
          <w:iCs/>
          <w:sz w:val="28"/>
          <w:szCs w:val="28"/>
        </w:rPr>
        <w:t>Показатель 7 «Доля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населенные пункты муниципального образования имеют регулярное автобусное и железнодорожное сообщение с административным центром. В связи с этим отчетный показатель доли населения, проживающего в населенных пунктах, не имеющих сообщения с административным центром, за 2016 – 2018 годы и на плановый период 2019 – 2021 годы составляет 0%.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пассажирские перевозки осуществляются по регулярным городским, пригородным и междугородным маршрутам.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маршруты обслуживаются МУП «Управляющая организация «Ноглики». За 2018 год предприятием перевезено 103,5 тыс.  пассажиров с ростом к уровню 2017 года на 4,9% (2017 – 98,7 тыс. пассажиров). С целью сохранения пассажиропотока и обеспечения доступности для населения услуг автобусными перевозками в 2018 году осуществлялось субсидирование муниципальных социально</w:t>
        <w:noBreakHyphen/>
        <w:t>значимых автобусных маршрутов за счет средств местного бюджета. За 2018 год перевозчику выплачена субсидия в размере 17,9 млн. рублей.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Допуск на муниципальную маршрутную сеть на право осуществления регулярных маршрутных перевозок пассажиров по городским, пригородным и междугородным маршрутам осуществляется по итогам конкурса.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изучения удовлетворенности населения действующим расписанием автобуса на городском маршруте на плановый период 2019-2021 годы предусмотрена проработка вопроса о введении дополнительных рейсов на данном маршруте. Длина маршрутных рейсов по городскому маршруту сохраниться.</w:t>
      </w:r>
    </w:p>
    <w:p>
      <w:pPr>
        <w:pStyle w:val="Normal"/>
        <w:tabs>
          <w:tab w:val="clear" w:pos="708"/>
          <w:tab w:val="left" w:pos="1125" w:leader="none"/>
        </w:tabs>
        <w:spacing w:lineRule="auto" w:line="36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>Показатель 8 «Среднемесячная номинальная начисленная заработная плата»</w:t>
      </w:r>
    </w:p>
    <w:p>
      <w:pPr>
        <w:pStyle w:val="Normal"/>
        <w:spacing w:lineRule="auto" w:line="360"/>
        <w:ind w:right="-9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удалось не допустить снижения уровня доходов населения муниципального образования, а также его покупательной способности.</w:t>
      </w:r>
    </w:p>
    <w:p>
      <w:pPr>
        <w:pStyle w:val="Normal"/>
        <w:spacing w:lineRule="auto" w:line="3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 показателем уровня жизни являются доходы населения, в которых главной составляющей остается оплата труда работников.</w:t>
      </w:r>
    </w:p>
    <w:p>
      <w:pPr>
        <w:pStyle w:val="Normal"/>
        <w:widowControl w:val="false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 xml:space="preserve">В соответствии со статистическими данными фактический размер среднемесячной заработной платы работников крупных и средних предприятий и некоммерческих организаций в 2018 году составил 144 024,2 рубля, или 106,2% к уровню 2017 года. </w:t>
      </w:r>
    </w:p>
    <w:p>
      <w:pPr>
        <w:pStyle w:val="Normal"/>
        <w:widowControl w:val="false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 xml:space="preserve">Плановый показатель величины среднемесячной заработной платы на 2018 год сформирован в размере 140 500 рублей, фактическая заработная плата составила 144 024,2 рубля, рост к плановым назначениям – 2,5%.  </w:t>
      </w:r>
    </w:p>
    <w:p>
      <w:pPr>
        <w:pStyle w:val="Normal"/>
        <w:widowControl w:val="false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 xml:space="preserve">Плановые показатели уровня заработной платы на 2019-2021 годы сформированы исходя из достигнутого значения 2018 года и в соответствии с прогнозными показателями социально-экономического развития городского округа на 2019-2021 годы.  </w:t>
      </w:r>
    </w:p>
    <w:p>
      <w:pPr>
        <w:pStyle w:val="Normal"/>
        <w:widowControl w:val="false"/>
        <w:suppressAutoHyphens w:val="true"/>
        <w:spacing w:lineRule="auto" w:line="360"/>
        <w:ind w:firstLine="709"/>
        <w:jc w:val="both"/>
        <w:rPr>
          <w:b/>
          <w:b/>
          <w:i/>
          <w:i/>
          <w:sz w:val="28"/>
          <w:szCs w:val="28"/>
          <w:highlight w:val="white"/>
          <w:lang w:eastAsia="zh-CN"/>
        </w:rPr>
      </w:pPr>
      <w:r>
        <w:rPr>
          <w:b/>
          <w:i/>
          <w:sz w:val="28"/>
          <w:szCs w:val="28"/>
          <w:shd w:fill="FFFFFF" w:val="clear"/>
          <w:lang w:eastAsia="zh-CN"/>
        </w:rPr>
        <w:t>Показатель 8.1 «Среднемесячная номинальная начисленная заработная плата работников крупных и средних предприятий и некоммерческих организаций»</w:t>
      </w:r>
    </w:p>
    <w:p>
      <w:pPr>
        <w:pStyle w:val="Normal"/>
        <w:widowControl w:val="false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Размер среднемесячной заработной платы работающих на крупных и средних предприятиях в 2018 году составил 144 024,2 руб. Факт 2016 года – 121</w:t>
      </w:r>
      <w:r>
        <w:rPr>
          <w:sz w:val="28"/>
          <w:szCs w:val="28"/>
          <w:shd w:fill="FFFFFF" w:val="clear"/>
          <w:lang w:val="en-US" w:eastAsia="zh-CN"/>
        </w:rPr>
        <w:t> </w:t>
      </w:r>
      <w:r>
        <w:rPr>
          <w:sz w:val="28"/>
          <w:szCs w:val="28"/>
          <w:shd w:fill="FFFFFF" w:val="clear"/>
          <w:lang w:eastAsia="zh-CN"/>
        </w:rPr>
        <w:t xml:space="preserve">579,3 руб., 2017 года – 135 559,2 руб. На формирование показателя оказывает влияние размер заработной платы работников по виду деятельности «Добыча полезных ископаемых». </w:t>
      </w:r>
    </w:p>
    <w:p>
      <w:pPr>
        <w:pStyle w:val="Normal"/>
        <w:widowControl w:val="false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 xml:space="preserve">В плановом периоде заработная плата работников крупных и средних предприятий составит: в 2019 году – 151 200 руб./мес., в 2020 году – 157 300 руб./мес.  К 2021 году среднемесячная заработная плата достигнет 163 500 рублей. Плановые показатели уровня заработной платы на 2019-2021 годы сформированы исходя из достигнутого значения 2018 года и в соответствии с прогнозными показателями социально-экономического развития городского округа на 2019-2021 годы.  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b/>
          <w:b/>
          <w:i/>
          <w:i/>
          <w:sz w:val="28"/>
          <w:szCs w:val="28"/>
          <w:highlight w:val="white"/>
          <w:lang w:eastAsia="zh-CN"/>
        </w:rPr>
      </w:pPr>
      <w:r>
        <w:rPr>
          <w:b/>
          <w:i/>
          <w:sz w:val="28"/>
          <w:szCs w:val="28"/>
          <w:shd w:fill="FFFFFF" w:val="clear"/>
          <w:lang w:eastAsia="zh-CN"/>
        </w:rPr>
        <w:t>Показатель 8.2 «Среднемесячная номинальная начисленная заработная плата работников муниципальных дошкольных образовательных учреждений»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течение 2016-2018 годов наблюдался рост среднемесячной заработной платы работников дошкольных образовательных учреждений. В 2016 году этот показатель составил 41 613,4 руб., в 2017 году – 43 778,6 тыс.руб. и в 2018 году – 48 437,7 тыс.руб. Рост среднемесячной заработной платы обеспечен исполнением мероприятий по повышению средней заработной платы в соответствии с Указом Президента Российской Федерации от 07.05.2012 г. № 597 «О мероприятиях по реализации государственной социальной политики». 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В плановом периоде 2019-2021 года значение показателя составит: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2019 год - 57 750,0 руб.;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2020 год - 60 060,0 руб.;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2021 год - 62 462,0 руб.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показатель на 2019 год сформирован с учетом повышения начисленной заработной платы на 20%, на 2020 -2021 годы – с учетом повышения заработной платы ежегодно на 4%. </w:t>
      </w:r>
    </w:p>
    <w:p>
      <w:pPr>
        <w:pStyle w:val="Normal"/>
        <w:spacing w:lineRule="auto" w:line="360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>
          <w:b/>
          <w:b/>
          <w:i/>
          <w:i/>
          <w:sz w:val="28"/>
          <w:szCs w:val="28"/>
          <w:highlight w:val="white"/>
          <w:lang w:eastAsia="zh-CN"/>
        </w:rPr>
      </w:pPr>
      <w:r>
        <w:rPr>
          <w:b/>
          <w:i/>
          <w:sz w:val="28"/>
          <w:szCs w:val="28"/>
          <w:shd w:fill="FFFFFF" w:val="clear"/>
          <w:lang w:eastAsia="zh-CN"/>
        </w:rPr>
        <w:t>Показатель 8.3 «Среднемесячная номинальная начисленная заработная плата работников муниципальных общеобразовательных учреждений»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 течение 2016-2018 годов наблюдался рост среднемесячной заработной платы работников муниципальных образовательных учреждений. Средняя номинальная начисленная заработная плата работников    общеобразовательных учреждений в 2016 году составила 55 480,8 руб., в 2017 году – 58 589,6 руб., в 2018 году -  64 891,10 руб. Рост среднемесячной заработной платы обеспечен исполнением мероприятий по повышению средней заработной платы в соответствии с Указом Президента Российской Федерации от 07.05.2012 г. № 597 «О мероприятиях по реализации государственной социальной политики».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В плановом периоде 2019-2021 года значение показателя составит: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2019 год - 72 840,0 руб.;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2020 год - 75 754,0 руб.;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2021 год - 78 784,0 руб.</w:t>
      </w:r>
    </w:p>
    <w:p>
      <w:pPr>
        <w:pStyle w:val="Normal"/>
        <w:spacing w:lineRule="auto" w:line="36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Прогнозный показатель на 2019 год сформирован с учетом повышения начисленной заработной платы на 20%, на 2020 -2021 годы – с учетом повышения заработной платы на 4% ежегодно.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b/>
          <w:b/>
          <w:i/>
          <w:i/>
          <w:sz w:val="28"/>
          <w:szCs w:val="28"/>
          <w:highlight w:val="white"/>
          <w:lang w:eastAsia="zh-CN"/>
        </w:rPr>
      </w:pPr>
      <w:r>
        <w:rPr>
          <w:b/>
          <w:i/>
          <w:sz w:val="28"/>
          <w:szCs w:val="28"/>
          <w:shd w:fill="FFFFFF" w:val="clear"/>
          <w:lang w:eastAsia="zh-CN"/>
        </w:rPr>
        <w:t>Показатель 8.4 «Среднемесячная номинальная начисленная заработная плата учителей муниципальных общеобразовательных учреждений»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Средняя номинальная начисленная среднемесячная заработная плата учителей муниципальных общеобразовательных учреждений в 2016 году составила 70 373,75 руб., в 2017 году – 72 172,51 руб., в 2018 году   77 499,11 руб. Рост среднемесячной заработной платы обеспечен исполнением мероприятий по повышению средней заработной платы в соответствии с Указом Президента Российской Федерации от 07.05.2012 г. № 597 «О мероприятиях по реализации государственной социальной политики».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В плановом периоде 2019-2021 года значение показателя составит: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2019 год - 92 752,0 руб.;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2020 год - 96 462,0 руб.;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2021 год - 100 321,0 руб.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прогнозу на 2019 год уровень заработной платы установлен министерством образования Сахалинской области с учетом повышения з/п на 20%, плановые цифры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 2020 -2021 годы по всем категориям вышеуказанных работников проставлены с повышением заработной платы на 4% ежегодно.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b/>
          <w:b/>
          <w:i/>
          <w:i/>
          <w:sz w:val="28"/>
          <w:szCs w:val="28"/>
          <w:highlight w:val="white"/>
          <w:lang w:eastAsia="zh-CN"/>
        </w:rPr>
      </w:pPr>
      <w:r>
        <w:rPr>
          <w:b/>
          <w:i/>
          <w:sz w:val="28"/>
          <w:szCs w:val="28"/>
          <w:shd w:fill="FFFFFF" w:val="clear"/>
          <w:lang w:eastAsia="zh-CN"/>
        </w:rPr>
        <w:t>Показатель 8.5 «Среднемесячная номинальная начисленная заработная плата работников муниципальных учреждений культуры и искусства»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 xml:space="preserve">Среднемесячная номинальная заработная плата работников муниципальных учреждений культуры и искусства в 2016 году составила 48 705,9 руб., в 2017 году – 57 454,8 руб., в 2018 году - 65 418,20 руб.  </w:t>
      </w:r>
      <w:r>
        <w:rPr>
          <w:sz w:val="28"/>
          <w:szCs w:val="28"/>
        </w:rPr>
        <w:t>Рост среднемесячной заработной платы обеспечен исполнением мероприятий по повышению средней заработной платы в соответствии с Указом Президента Российской Федерации от 07.05.2012 г. № 597 «О мероприятиях по реализации государственной социальной политики».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В прогнозируемом трехлетнем периоде планируется ежегодное повышение среднемесячной заработной платы. Плановый показатель уровня среднемесячной заработной платы составит: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2019 год – 67 977,0 руб.;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2020 год – 70 900,1 руб.;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2021 год – 73 948,71 руб.</w:t>
      </w:r>
    </w:p>
    <w:p>
      <w:pPr>
        <w:pStyle w:val="Normal"/>
        <w:tabs>
          <w:tab w:val="clear" w:pos="708"/>
          <w:tab w:val="left" w:pos="1755" w:leader="none"/>
        </w:tabs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b/>
          <w:i/>
          <w:sz w:val="28"/>
          <w:szCs w:val="28"/>
          <w:shd w:fill="FFFFFF" w:val="clear"/>
          <w:lang w:eastAsia="zh-CN"/>
        </w:rPr>
        <w:t>Показатель 8.6 «Среднемесячная номинальная начисленная заработная плата работников муниципальных учреждений физической культуры и спорта»</w:t>
      </w:r>
      <w:r>
        <w:rPr>
          <w:sz w:val="28"/>
          <w:szCs w:val="28"/>
          <w:shd w:fill="FFFFFF" w:val="clear"/>
          <w:lang w:eastAsia="zh-CN"/>
        </w:rPr>
        <w:t xml:space="preserve">  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</w:rPr>
        <w:t xml:space="preserve">В течение 2016-2018 годов наблюдался рост среднемесячной заработной платы работников муниципальных учреждений физической культуры и спорта. Средняя номинальная начисленная заработная плата работников данной категории в 2016 году составила 41 210,5 руб., в 2017 году – 42 695,0 руб., в 2018 году - </w:t>
      </w:r>
      <w:r>
        <w:rPr>
          <w:sz w:val="28"/>
          <w:szCs w:val="28"/>
          <w:shd w:fill="FFFFFF" w:val="clear"/>
          <w:lang w:eastAsia="zh-CN"/>
        </w:rPr>
        <w:t xml:space="preserve">52 739,8 рублей. </w:t>
      </w:r>
      <w:r>
        <w:rPr>
          <w:sz w:val="28"/>
          <w:szCs w:val="28"/>
        </w:rPr>
        <w:t>Рост среднемесячной заработной платы обеспечен исполнением мероприятий по повышению средней заработной платы в соответствии с Указом Президента Российской Федерации от 07.05.2012 г. № 597 «О мероприятиях по реализации государственной социальной политики».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Прогнозируемая номинальная заработная плата на 2018-2021 годы данной категории работников определена с учетом повышения заработной платы в 2019 году на 20% и в дальнейшем на 2020-2021 гг. увеличением на 4% ежегодно: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2019 год – 63 287,76 руб.;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2020 год – 65 819,27 руб.;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  <w:t>2021 год – 68 459,04 руб.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highlight w:val="white"/>
          <w:lang w:eastAsia="zh-CN"/>
        </w:rPr>
      </w:pPr>
      <w:r>
        <w:rPr>
          <w:sz w:val="28"/>
          <w:szCs w:val="28"/>
          <w:shd w:fill="FFFFFF" w:val="clear"/>
          <w:lang w:eastAsia="zh-CN"/>
        </w:rPr>
      </w:r>
    </w:p>
    <w:p>
      <w:pPr>
        <w:pStyle w:val="Normal"/>
        <w:spacing w:lineRule="auto" w:line="36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2 «Дошкольное образование»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Дошкольное образование представлено 5 муниципальными учреждениями. В функционирующих детских садах в 2018 году воспитывались 547 детей;  7  дошкольных  групп (СОШ № 1 п. Ноглики, СОШ с. Вал, СОШ с. Ныш) посещали  135 детей.</w:t>
      </w:r>
    </w:p>
    <w:p>
      <w:pPr>
        <w:pStyle w:val="Normal"/>
        <w:spacing w:lineRule="auto" w:line="360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2018 году новые дошкольные образовательные учреждения в эксплуатацию не вводились.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многих лет охват детей от 3 до 7 лет услугами дошкольного образования составляет 100%.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01 января 2019 года очередь в дошкольные учреждения составила 208 детей из них: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- от 0 до 2 лет – 193 человека;</w:t>
      </w:r>
    </w:p>
    <w:p>
      <w:pPr>
        <w:pStyle w:val="Normal"/>
        <w:spacing w:lineRule="auto" w:line="360"/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>- от 2 до 3 лет – 15 человек.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01 января 2018 года очередь в дошкольные учреждения составляла 183 ребенка из них: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- от 0 до 2 лет – 179  человек;</w:t>
      </w:r>
    </w:p>
    <w:p>
      <w:pPr>
        <w:pStyle w:val="Normal"/>
        <w:spacing w:lineRule="auto" w:line="360"/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>- от 2 до 3 лет – 4  человека.</w:t>
      </w:r>
    </w:p>
    <w:p>
      <w:pPr>
        <w:pStyle w:val="Normal"/>
        <w:spacing w:lineRule="auto" w:line="360"/>
        <w:ind w:firstLine="3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повышения качества образования дошкольников, а также с целью предоставления разнообразных образовательных услуг для детей и родителей в детском саду № 1 «Светлячок» предоставляются платные образовательные услуги (кружки «Играй-ка», «Волшебные пальчики», «Песочная терапия» «По дороге к азбуке», «Пластилиновые фантазии»), создан консультативный пункт для детей, не посещающих дошкольные учреждения. Детский сад № 9 «Березка» предоставляет платные дополнительные логопедические услуги населению.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подготовку образовательных учреждений, реализующих программы дошкольного образования, к 2018-2019 учебному году были предусмотрены средства местного бюджета в размере 7 748,9 тысяч рублей. </w:t>
      </w:r>
    </w:p>
    <w:p>
      <w:pPr>
        <w:pStyle w:val="Normal"/>
        <w:spacing w:lineRule="auto" w:line="36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9 «Доля детей в возрасте 1–6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составила 79,1%, в 2017 году- 79,3%, в 2018 году – 77,2%.  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 по состоянию на 01 января 2019 года   детей в возрасте от 1 года до 6 лет - 883 ребенка. Муниципальные дошкольные образовательные учреждения на 01 января 2019 года посещали 682 ребенка.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условиях, сложившихся в целом в дошкольном образовании, доля детей,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остается стабильной на протяжении ряда лет. Снижение показателя в 2018 году объясняется тем, что не производился набор в д/с № 11 «Сказка» (капитальный ремонт). В апреле 2019 года детский сад будет введен в эксплуатацию. Численность детей, получающих дошкольную образовательную услугу, увеличится.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значения: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85,1%;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85,1%;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 – 85,1%.</w:t>
      </w:r>
    </w:p>
    <w:p>
      <w:pPr>
        <w:pStyle w:val="Normal"/>
        <w:spacing w:lineRule="auto" w:line="36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10 «Доля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в 2016 году составила 12,4%, в 2017 году – 8,7%, в 2018 году – 13,14%. Рост показателя в 2018 году объясняется следующими причинами: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производился набор в д/с № 11 «Сказка» (капитальный ремонт);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ДОУ из подготовительных к школе групп выпускают в среднем по 25 воспитанников, а набор в группы раннего возраста составляет - 20 человек.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значения на прогнозируемый период составят: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г. – 9,1%;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г. – 9,1%;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г. – 9,1%.</w:t>
      </w:r>
    </w:p>
    <w:p>
      <w:pPr>
        <w:pStyle w:val="Normal"/>
        <w:shd w:val="clear" w:color="auto" w:fill="FFFFFF"/>
        <w:spacing w:lineRule="auto" w:line="36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11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</w:t>
      </w:r>
    </w:p>
    <w:p>
      <w:pPr>
        <w:pStyle w:val="Normal"/>
        <w:spacing w:lineRule="auto" w:line="360"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условиях, сложившихся в целом в дошкольном образовании на территории муниципального образования доля муниципальных дошкольных образовательных учреждений, здания которых находятся в аварийном состоянии или требуют капитального ремонта – отсутствуют.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в течение отчетного периода (2016-2018 год) составила </w:t>
      </w:r>
      <w:r>
        <w:rPr>
          <w:sz w:val="28"/>
          <w:szCs w:val="28"/>
        </w:rPr>
        <w:t>0%.</w:t>
      </w:r>
      <w:r>
        <w:rPr>
          <w:color w:val="FF0000"/>
          <w:sz w:val="28"/>
          <w:szCs w:val="28"/>
        </w:rPr>
        <w:t xml:space="preserve">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значения: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г. – 0 %;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г. – 0 %;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г. – 0 %.</w:t>
      </w:r>
    </w:p>
    <w:p>
      <w:pPr>
        <w:pStyle w:val="Normal"/>
        <w:spacing w:lineRule="auto" w:line="36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3 «Общее и дополнительное образование»</w:t>
      </w:r>
    </w:p>
    <w:p>
      <w:pPr>
        <w:pStyle w:val="Normal"/>
        <w:spacing w:lineRule="auto" w:line="360"/>
        <w:ind w:firstLine="851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Общее и дополнительное образование представлено следующими образовательными учреждениями:</w:t>
      </w:r>
      <w:r>
        <w:rPr>
          <w:iCs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36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- 5 общеобразовательных учреждений, число обучающихся - 1454 человека, в том числе обучающихся в заочных классах 30 человек  (Гимназия и две школы в п. Ноглики, 2 сельские школы).</w:t>
      </w:r>
    </w:p>
    <w:p>
      <w:pPr>
        <w:pStyle w:val="Normal"/>
        <w:spacing w:lineRule="auto" w:line="36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учреждение дополнительного образования детей «Центр творчества и воспитания», в  котором в 2018 году обучалось  499  человек. </w:t>
      </w:r>
    </w:p>
    <w:p>
      <w:pPr>
        <w:pStyle w:val="Normal"/>
        <w:spacing w:lineRule="auto" w:line="360"/>
        <w:ind w:firstLine="708"/>
        <w:jc w:val="both"/>
        <w:rPr>
          <w:i/>
          <w:i/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</w:t>
      </w:r>
      <w:r>
        <w:rPr>
          <w:iCs/>
          <w:color w:val="000000"/>
          <w:sz w:val="28"/>
          <w:szCs w:val="28"/>
        </w:rPr>
        <w:t xml:space="preserve">Подвоз </w:t>
      </w:r>
      <w:r>
        <w:rPr>
          <w:iCs/>
          <w:sz w:val="28"/>
          <w:szCs w:val="28"/>
        </w:rPr>
        <w:t>408 обучающихся</w:t>
      </w:r>
      <w:r>
        <w:rPr>
          <w:iCs/>
          <w:color w:val="000000"/>
          <w:sz w:val="28"/>
          <w:szCs w:val="28"/>
        </w:rPr>
        <w:t xml:space="preserve"> (средняя протяженность маршрута в черте п. Ноглики 3,5 километра; с. Катангли - п. Ноглики 12,3км; с. Вал - 7,5 км) к месту обучения осуществлялся специализированным транспортом. </w:t>
      </w:r>
      <w:r>
        <w:rPr>
          <w:sz w:val="28"/>
          <w:szCs w:val="28"/>
        </w:rPr>
        <w:t xml:space="preserve">Подвоз обучающихся к месту учебы и обратно осуществляют 7 автобусов: 6-ПАЗ, 1-Луидор №-2250 Е0. </w:t>
      </w:r>
      <w:r>
        <w:rPr>
          <w:iCs/>
          <w:sz w:val="28"/>
          <w:szCs w:val="28"/>
        </w:rPr>
        <w:t>Все транспортные средства оснащены согласно требованиям ГОСТ Р 51160-98 «Автобусы для перевозки детей. Технические требования» и Постановлению Правительства Российской Федерации от 17.12.2013 №1177 «Об утверждении правил организованной перевозки группы детей автобусами». Количество имеющихся автобусов соответствует необходимой потребности.</w:t>
      </w:r>
    </w:p>
    <w:p>
      <w:pPr>
        <w:pStyle w:val="Normal"/>
        <w:spacing w:lineRule="auto" w:line="36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ab/>
        <w:t>При 5 школах имеются 2 хоккейных корта (СОШ № 1, СОШ с. Вал), волейбольные, баскетбольные площадки (СОШ № 1, Гимназия), поле для игры в футбол (СОШ № 1, № 2, с. Ныш).</w:t>
      </w:r>
    </w:p>
    <w:p>
      <w:pPr>
        <w:pStyle w:val="Normal"/>
        <w:spacing w:lineRule="auto" w:line="360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Ликвидация и реорганизация общеобразовательных учреждений на территории муниципального образования в 2018 году не проводилась. </w:t>
      </w:r>
    </w:p>
    <w:p>
      <w:pPr>
        <w:pStyle w:val="Normal"/>
        <w:spacing w:lineRule="auto" w:line="360"/>
        <w:ind w:firstLine="708"/>
        <w:jc w:val="both"/>
        <w:rPr>
          <w:i/>
          <w:i/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>Образовательные учреждения имеют огражденную по периметру территорию,  оборудованы «тревожной» кнопкой  для вызова ОМВД в случае ЧС; камерами видеонаблюдения по периметру и частично внутри помещения образовательных учреждений.</w:t>
      </w:r>
      <w:r>
        <w:rPr>
          <w:iCs/>
          <w:sz w:val="28"/>
          <w:szCs w:val="28"/>
        </w:rPr>
        <w:t xml:space="preserve"> В 4 учреждениях установлена система контроля управления доступом (СОШ №1, СОШ с. Вал, СОШ с. Ныш, Гимназия. Обучающиеся МБОУ СОШ № 2  переведены в здание МБОУ СОШ № 1). Три общеобразовательных организации: МБОУ Гимназия, МБОУ СОШ №1, МБОУ СОШ №2 заключили договор с Обществом с ограниченной ответственностью «Охранное агентство «Алекс-А» на оказание услуг по физической охране объекта в дневное время суток</w:t>
      </w:r>
      <w:r>
        <w:rPr>
          <w:sz w:val="28"/>
          <w:szCs w:val="28"/>
        </w:rPr>
        <w:t>. О</w:t>
      </w:r>
      <w:r>
        <w:rPr>
          <w:iCs/>
          <w:sz w:val="28"/>
          <w:szCs w:val="28"/>
        </w:rPr>
        <w:t>храна общеобразовательных организаций сельской местности и в ночное время учреждений, находящихся в городской местности, осуществляется работниками учреждения (сторожа, вахтеры, дежурные).</w:t>
      </w:r>
      <w:r>
        <w:rPr>
          <w:i/>
          <w:iCs/>
          <w:sz w:val="28"/>
          <w:szCs w:val="28"/>
        </w:rPr>
        <w:t xml:space="preserve">  </w:t>
      </w:r>
    </w:p>
    <w:p>
      <w:pPr>
        <w:pStyle w:val="Normal"/>
        <w:spacing w:lineRule="auto" w:line="360"/>
        <w:ind w:firstLine="851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Все образовательные учреждения, расположенные на территории муниципального образования, оборудованы автоматической противопожарной  системой с выводом сигнала на пульт пожарной охраны.</w:t>
      </w:r>
    </w:p>
    <w:p>
      <w:pPr>
        <w:pStyle w:val="Normal"/>
        <w:spacing w:lineRule="auto" w:line="36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школы городского округа приобретено  лицензионное программное обеспечение, обеспечивающее  комплексную централизованную защиту для использования сети Интернет в образовательном процессе.   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подготовку образовательных учреждений к 2018–2019 учебному году  было израсходовано  43 339,9 тыс. руб., в том числе: 22 936,2 тыс. руб. - средства местного бюджета, 20 403,7 тыс. руб.  - средства областного бюджета. В том числе: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ремонт и реконструкцию зданий – 34 428,8 тыс. руб.;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пожарной безопасности – 1 650,4 тыс. руб.;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- на антитеррористические мероприятия 4 244,6 тыс. рублей.</w:t>
      </w:r>
      <w:r>
        <w:rPr>
          <w:sz w:val="28"/>
          <w:szCs w:val="28"/>
          <w:lang w:eastAsia="ar-SA"/>
        </w:rPr>
        <w:t xml:space="preserve">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Все образовательные учреждения городского округа приняты к новому учебному году своевременно и  без замечаний.</w:t>
      </w:r>
      <w:r>
        <w:rPr>
          <w:sz w:val="28"/>
          <w:szCs w:val="28"/>
        </w:rPr>
        <w:t xml:space="preserve"> </w:t>
      </w:r>
    </w:p>
    <w:p>
      <w:pPr>
        <w:pStyle w:val="Normal"/>
        <w:spacing w:lineRule="auto" w:line="36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</w:t>
      </w:r>
      <w:r>
        <w:rPr>
          <w:iCs/>
          <w:sz w:val="28"/>
          <w:szCs w:val="28"/>
        </w:rPr>
        <w:t xml:space="preserve">В общеобразовательных учреждениях обучается 22 ребенка-инвалида, в том числе, в начальной школе - 8 человек, в  основном  звене - 11 человек,  в   среднем звене – 3 человека.   Из 22-х человек по общеобразовательной программе   обучаются 11 детей-инвалидов, по  адаптированным программам для детей с задержкой  психического развития и  детей с умственной отсталостью (интеллектуальными нарушениями) - 11 человек. На домашнем обучении находятся 12 детей-инвалидов, из них по состоянию на 01 января 2019 года  5  детей обучается  с применением дистанционных технологий. В МБОУ СОШ № 1 п.Ноглики функционирует два коррекционных класса.   Для 16 обучающихся с ограниченными возможностям здоровья в 2018 году проведена государственная итоговая аттестация с учетом состояния здоровья и психофизического развития.  В соответствии с заявлениями родителей (законных представителей) детям-инвалидам предоставлялась отдельная специализированная аудитория, проводились  необходимые медицинские процедуры. </w:t>
      </w:r>
    </w:p>
    <w:p>
      <w:pPr>
        <w:pStyle w:val="Style21"/>
        <w:tabs>
          <w:tab w:val="clear" w:pos="708"/>
          <w:tab w:val="left" w:pos="0" w:leader="none"/>
        </w:tabs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В разделе отражены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8 показателей, характеризующих эффективность деятельности городского округа в сфере общего и дополнительного образования детей.</w:t>
      </w:r>
    </w:p>
    <w:p>
      <w:pPr>
        <w:pStyle w:val="Normal"/>
        <w:spacing w:lineRule="auto" w:line="36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13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общеобразовательных учреждений»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 2016 доля обучающихся, не получивших аттестат о среднем общем образовании, составила 4,71% в общей численности выпускников, в 2017 году – 1,3%, в 2018 году этот показатель составил 0%. Снижение показателя   объясняется участием педагогических коллективов и выпускников 11-12 классов в 2017-2018 учебном году в реализации проекта «Я сдам ЕГЭ» и дополнительной индивидуальной работой педагогов с обучающимися, имеющими трудности в обучении. 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прогнозируемом периоде данный показатель планируется сохранить на уровне отчетного года. </w:t>
      </w:r>
    </w:p>
    <w:p>
      <w:pPr>
        <w:pStyle w:val="Normal"/>
        <w:spacing w:lineRule="auto" w:line="360"/>
        <w:ind w:firstLine="851"/>
        <w:jc w:val="both"/>
        <w:rPr>
          <w:i/>
          <w:i/>
          <w:sz w:val="28"/>
          <w:szCs w:val="28"/>
        </w:rPr>
      </w:pPr>
      <w:r>
        <w:rPr>
          <w:color w:val="C00000"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Показатель 14</w:t>
      </w:r>
      <w:r>
        <w:rPr>
          <w:b/>
          <w:sz w:val="28"/>
          <w:szCs w:val="28"/>
        </w:rPr>
        <w:t xml:space="preserve"> «</w:t>
      </w:r>
      <w:r>
        <w:rPr>
          <w:rStyle w:val="Strong"/>
          <w:i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</w:t>
      </w:r>
    </w:p>
    <w:p>
      <w:pPr>
        <w:pStyle w:val="Normal"/>
        <w:spacing w:lineRule="auto" w:line="360"/>
        <w:ind w:firstLine="709"/>
        <w:jc w:val="both"/>
        <w:rPr>
          <w:rStyle w:val="Strong"/>
          <w:b w:val="false"/>
          <w:b w:val="false"/>
          <w:bCs w:val="false"/>
          <w:sz w:val="28"/>
          <w:szCs w:val="28"/>
        </w:rPr>
      </w:pPr>
      <w:r>
        <w:rPr>
          <w:sz w:val="28"/>
          <w:szCs w:val="28"/>
        </w:rPr>
        <w:t xml:space="preserve">В 2016 году доля муниципальных общеобразовательных учреждений, соответствующих современным требованиям обучения, в общем количестве учреждений составила 83,75%, в 2017 году данный показатель не изменился и также равнялся 83,75%, а в 2018 году произошло увеличение показателя до 87,5%. Рост показателя обусловлен </w:t>
      </w:r>
      <w:r>
        <w:rPr>
          <w:rStyle w:val="Strong"/>
          <w:b w:val="false"/>
          <w:sz w:val="28"/>
          <w:szCs w:val="28"/>
        </w:rPr>
        <w:t>проведением реконструкции входной группы МБОУ Гимназии п.Ноглики, а именно: оборудован пандус, расширены дверные проемы для проезда инвалидов-колясочников,</w:t>
      </w:r>
      <w:r>
        <w:rPr>
          <w:sz w:val="28"/>
          <w:szCs w:val="28"/>
        </w:rPr>
        <w:t xml:space="preserve"> </w:t>
      </w:r>
      <w:r>
        <w:rPr>
          <w:rStyle w:val="Strong"/>
          <w:b w:val="false"/>
          <w:sz w:val="28"/>
          <w:szCs w:val="28"/>
        </w:rPr>
        <w:t xml:space="preserve">оборудован туалет  для инвалидов-колясочников.  </w:t>
      </w:r>
    </w:p>
    <w:p>
      <w:pPr>
        <w:pStyle w:val="Normal"/>
        <w:spacing w:lineRule="auto" w:line="360"/>
        <w:ind w:firstLine="709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 xml:space="preserve"> </w:t>
      </w:r>
      <w:r>
        <w:rPr>
          <w:rStyle w:val="Strong"/>
          <w:b w:val="false"/>
          <w:sz w:val="28"/>
          <w:szCs w:val="28"/>
        </w:rPr>
        <w:t>Планируемые значения составят:</w:t>
      </w:r>
    </w:p>
    <w:p>
      <w:pPr>
        <w:pStyle w:val="Normal"/>
        <w:spacing w:lineRule="auto" w:line="360"/>
        <w:ind w:firstLine="709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2019 год - 87,5%;</w:t>
      </w:r>
    </w:p>
    <w:p>
      <w:pPr>
        <w:pStyle w:val="Normal"/>
        <w:spacing w:lineRule="auto" w:line="360"/>
        <w:ind w:firstLine="709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2020 год - 87,5%;</w:t>
      </w:r>
    </w:p>
    <w:p>
      <w:pPr>
        <w:pStyle w:val="Normal"/>
        <w:spacing w:lineRule="auto" w:line="360"/>
        <w:ind w:firstLine="709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2021 год - 87,5%.</w:t>
      </w:r>
    </w:p>
    <w:p>
      <w:pPr>
        <w:pStyle w:val="Normal"/>
        <w:spacing w:lineRule="auto" w:line="360"/>
        <w:ind w:firstLine="708"/>
        <w:jc w:val="both"/>
        <w:rPr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15</w:t>
      </w:r>
      <w:r>
        <w:rPr>
          <w:sz w:val="28"/>
          <w:szCs w:val="28"/>
        </w:rPr>
        <w:t xml:space="preserve"> «</w:t>
      </w:r>
      <w:r>
        <w:rPr>
          <w:rStyle w:val="Strong"/>
          <w:i/>
          <w:sz w:val="28"/>
          <w:szCs w:val="28"/>
        </w:rPr>
        <w:t>Доля муниципальных общеобразовательных учреждений, здания которых находятся в аварийном состоянии или требуют капитального ремонта, в общем количестве муниципальных общеобразовательных учреждений»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sz w:val="28"/>
          <w:szCs w:val="28"/>
        </w:rPr>
        <w:t>В течение 2016-2018 годов в муниципальном образовании отсутствовали образовательные учреждения, требующие капитального ремонта. Показатель</w:t>
      </w:r>
      <w:r>
        <w:rPr>
          <w:rStyle w:val="Strong"/>
          <w:b w:val="false"/>
          <w:sz w:val="28"/>
          <w:szCs w:val="28"/>
        </w:rPr>
        <w:t xml:space="preserve"> имеет   нулевое значение. В отчетном периоде показатель в 0% сохранится.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rStyle w:val="Strong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Показатель 16 «Доля детей первой и второй групп здоровья в </w:t>
      </w:r>
      <w:r>
        <w:rPr>
          <w:rStyle w:val="Strong"/>
          <w:i/>
          <w:sz w:val="28"/>
          <w:szCs w:val="28"/>
        </w:rPr>
        <w:t>общей численности обучающихся в муниципальных общеобразовательных учреждениях»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sz w:val="28"/>
          <w:szCs w:val="28"/>
        </w:rPr>
        <w:t>Доля детей первой и второй групп здоровья в общей численности обучающихся в 2016 году оставила 95,6%, в 2017 году этот показатель несколько уменьшился и был равен 94,2%. По итогам 2018 года</w:t>
      </w:r>
      <w:r>
        <w:rPr>
          <w:b/>
          <w:sz w:val="28"/>
          <w:szCs w:val="28"/>
        </w:rPr>
        <w:t xml:space="preserve"> </w:t>
      </w:r>
      <w:r>
        <w:rPr>
          <w:rStyle w:val="Strong"/>
          <w:b w:val="false"/>
          <w:sz w:val="28"/>
          <w:szCs w:val="28"/>
        </w:rPr>
        <w:t>доля детей первой и второй групп здоровья составила 93,66%, что ниже планового значения на 0,5%. Снижение фактического показателя обусловлено увеличением количества  обучающихся, имеющих хронические  заболевания, что выявлено  при проведении медицинских осмотров.</w:t>
      </w:r>
    </w:p>
    <w:p>
      <w:pPr>
        <w:pStyle w:val="Normal"/>
        <w:spacing w:lineRule="auto" w:line="360"/>
        <w:ind w:firstLine="708"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 прогнозируемом периоде 2019 - 2021 годы планируется повышение показателя ежегодно до 94,8% за счет проведения диспансерного наблюдения, периодических медицинских осмотров несовершеннолетних, рентгенологических исследований, введения занятий по программам дополнительного образования по оздоровительной гимнастике и подвижным играм, дыхательной  гимнастике, организацией Дней здоровья и   спортивно-массовых мероприятий. </w:t>
      </w:r>
      <w:r>
        <w:rPr>
          <w:i/>
          <w:sz w:val="28"/>
          <w:szCs w:val="28"/>
        </w:rPr>
        <w:t xml:space="preserve"> </w:t>
      </w:r>
    </w:p>
    <w:p>
      <w:pPr>
        <w:pStyle w:val="Normal"/>
        <w:spacing w:lineRule="auto" w:line="360"/>
        <w:ind w:firstLine="708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Показатель 17</w:t>
      </w:r>
      <w:r>
        <w:rPr>
          <w:sz w:val="28"/>
          <w:szCs w:val="28"/>
        </w:rPr>
        <w:t xml:space="preserve"> </w:t>
      </w:r>
      <w:r>
        <w:rPr>
          <w:rStyle w:val="Strong"/>
          <w:i/>
          <w:sz w:val="28"/>
          <w:szCs w:val="28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учреждениях»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sz w:val="28"/>
          <w:szCs w:val="28"/>
        </w:rPr>
        <w:t xml:space="preserve">В 2016 – 2017 годах обучение учеников во вторую (третью) смену отсутствовало. Доля обучающихся в общеобразовательных учреждениях в общей численности обучающихся в была равна 0%.  В 2018 году этот показатель составил 10,9 %. Рост показателя </w:t>
      </w:r>
      <w:r>
        <w:rPr>
          <w:rStyle w:val="Strong"/>
          <w:b w:val="false"/>
          <w:sz w:val="28"/>
          <w:szCs w:val="28"/>
        </w:rPr>
        <w:t>связан с тем, что учебно-воспитательный процесс обучающихся МБОУ СОШ № 2 организован в здании МБОУ СОШ № 1, т.к. на месте старого  здания школы будет строиться новое. Планируемая дата введения в эксплуатацию нового здания общеобразовательного учреждения – 2021 год.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bCs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Плановые значения показателя на прогнозируемый период: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bCs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2019 г.- 11,9%;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bCs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2020 г.- 11,9%;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bCs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2021 г.- 11,9%.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18</w:t>
      </w:r>
      <w:r>
        <w:rPr>
          <w:b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учреждениях»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sz w:val="28"/>
          <w:szCs w:val="28"/>
        </w:rPr>
        <w:t>В течение 2016 – 2018 годов наблюдается рост расходов муниципального бюджета на образование в расчете на 1 обучающегося. В 2016 году этот показатель составил 167,52 тыс.руб., в 2017 году – 180,0 тыс. руб., в 2018 году – 209,0 тыс.руб. Рост п</w:t>
      </w:r>
      <w:r>
        <w:rPr>
          <w:rStyle w:val="Strong"/>
          <w:b w:val="false"/>
          <w:sz w:val="28"/>
          <w:szCs w:val="28"/>
        </w:rPr>
        <w:t xml:space="preserve">оказателя в 2018 году обусловлен, в том числе,  повышением заработной платы (с 01 января 2018 года - на 4%, с 01 мая 2018 года - на 4%, а также повышением минимального размера оплаты труда, повышением налога на имущество в 2 раза, установлением нового налога на землю – 1,5%). 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Повышение прогнозного показателя на 2019 год и далее связано с повышением с 01 января 2019 года в 1,2 раза оплаты работников муниципальных учреждений, а также повышением минимального размера оплаты труда.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 xml:space="preserve"> </w:t>
      </w:r>
      <w:r>
        <w:rPr>
          <w:rStyle w:val="Strong"/>
          <w:b w:val="false"/>
          <w:sz w:val="28"/>
          <w:szCs w:val="28"/>
        </w:rPr>
        <w:t>В плановом периоде  значение показателя составит: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2019 год - 227,8 тыс.руб.;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2020 год - 241,8 тыс.руб.;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2021 год - 254,2 тыс.руб.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19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sz w:val="28"/>
          <w:szCs w:val="28"/>
        </w:rPr>
        <w:t>В 2018 году</w:t>
      </w:r>
      <w:r>
        <w:rPr>
          <w:rStyle w:val="Strong"/>
          <w:b w:val="false"/>
          <w:sz w:val="28"/>
          <w:szCs w:val="28"/>
        </w:rPr>
        <w:t xml:space="preserve"> доля детей в возрасте 5 - 18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составляет 78,8%, что соответствует плановому показателю и выше показателя 2017 года  на 0,6% (2017 год – 78,2%). В 2016 году этот показатель был равен 76,7 %. Увеличение показателя 2018 года по сравнению с 2017 годом объясняется  открытием на базе  общеобразовательных  учреждений и  учреждения дополнительного образования  объединений технической направленности.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 xml:space="preserve"> </w:t>
      </w:r>
      <w:r>
        <w:rPr>
          <w:rStyle w:val="Strong"/>
          <w:b w:val="false"/>
          <w:sz w:val="28"/>
          <w:szCs w:val="28"/>
        </w:rPr>
        <w:t>В плановом периоде 2019-2021 года значение показателя составит: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2019 год - 78,4%;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2020 год - 78,6%;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2021 год - 78,8%.</w:t>
      </w:r>
    </w:p>
    <w:p>
      <w:pPr>
        <w:pStyle w:val="Normal"/>
        <w:spacing w:lineRule="auto" w:line="360"/>
        <w:ind w:firstLine="708"/>
        <w:jc w:val="both"/>
        <w:rPr>
          <w:rStyle w:val="Strong"/>
          <w:b w:val="false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 xml:space="preserve"> </w:t>
      </w:r>
      <w:r>
        <w:rPr>
          <w:rStyle w:val="Strong"/>
          <w:b w:val="false"/>
          <w:sz w:val="28"/>
          <w:szCs w:val="28"/>
        </w:rPr>
        <w:t>Рост показателя   обусловлен открытием новых кружков и объединений в общеобразовательных организациях.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4 «Культура»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администрации в сфере культуры была направлена на выполнение задач, поставленных в основополагающих документах Президента Российской Федерации и Правительства Российской</w:t>
        <w:tab/>
        <w:t xml:space="preserve"> Федерации, в том числе Указах Президента РФ от 7 мая 2012 года, на реализацию государственной программы «Развитие сферы культуры в Сахалинской области» на 2014-2020 годы» 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«Развитие культуры в муниципальном образовании «Городской округ Ногликский» на 2015-2020 годы».  В 2018 году отрасль «Культура» развивалась в соответствии со следующими приоритетами: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модернизация сферы культуры через содержательное и технологическое обновление деятельности учреждений;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-сохранение культурного многообразия и создание единого культурного пространства;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благоприятной сферы культурного досуга;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-сохранение культурно-исторического наследия и расширение доступа граждан к культурным ценностям и информации;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проведение структурных изменений в отрасли, увязанных с повышение оплаты труда работников учреждений культуры, направленных на повышение эффективности их деятельности и качества предоставляемых услуг.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Уровень фактической обеспеченности учреждениями культуры от нормативной потребности в округе составил: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20 «Уровень фактической обеспеченности учреждениями культуры от нормативной потребности»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20.1 «Уровень фактической обеспеченности клубами и учреждениями клубного типа от нормативной потребности»</w:t>
      </w:r>
    </w:p>
    <w:p>
      <w:pPr>
        <w:pStyle w:val="Normal"/>
        <w:spacing w:lineRule="auto" w:line="360"/>
        <w:ind w:firstLine="708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Обеспеченность клубами и учреждениями клубного типа сохраняется на протяжении 2016 – 2018 годов и составляет 75%. Согласно Распоряжению Министерства культуры РФ от 27.07.2016 г. № Р-948 по нормативам фактическая обеспеченность клубами в округе должна составлять 4 единицы, в настоящее время в округе 3 культурно-досуговых учреждения, что ниже норматива. Д</w:t>
      </w:r>
      <w:r>
        <w:rPr>
          <w:color w:val="000000"/>
          <w:sz w:val="28"/>
          <w:szCs w:val="28"/>
        </w:rPr>
        <w:t>анный показатель не меняется на протяжении ряда лет. Изменение показателя в 2019-2021 годы не планируется.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20.2 «Уровень фактической обеспеченности библиотеками от нормативной потребности»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Обеспеченность библиотеками в течение 2016 – 2018 годов не меняется и составляет 140%. Обеспеченность библиотеками по нормативу составляет 5 единиц, фактически – 6. Это районная центральная библиотека, детская библиотека, 4 библиотеки-филиалы.</w:t>
      </w:r>
      <w:r>
        <w:rPr>
          <w:color w:val="000000"/>
          <w:sz w:val="28"/>
          <w:szCs w:val="28"/>
        </w:rPr>
        <w:t xml:space="preserve"> Учреждения формируют и предлагают населению широкий спектр культурных, образовательных и информационных услуг.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Прогнозный показатель на 2019 – 2021 годы: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2019 год – 120%;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120%;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 год – 120%.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20.3 «Уровень фактической обеспеченности парками культуры и отдыха от нормативной потребности»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муниципального образования парки культуры и отдыха отсутствуют. Показатель обеспеченности парками культуры и отдыха в отчетном и прогнозируемом периоде равны 0%.</w:t>
      </w:r>
    </w:p>
    <w:p>
      <w:pPr>
        <w:pStyle w:val="Normal"/>
        <w:spacing w:lineRule="auto" w:line="360"/>
        <w:ind w:firstLine="708"/>
        <w:jc w:val="both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Показатель 21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– 2017 годах данный показатель составлял 28,6%. По итогам 2018 года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составляет 33,3%. Ситуация следующая: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МБУК Районный центр досуга требует капитального ремонта;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МБУК Ногликский муниципальный краеведческий музей находится в аварийном состоянии.  Необходимо строительство здания музея в центре административного центра, которое будет соответствовать санитарным и пожарным требованиям. В настоящее время здание, в котором располагается музей, не соответствует современным требованиям: отсутствуют условия размещения и хранения уникальных экспонатов, недостаточно площадей для размещения экспозиций, нет возможности представить посетителям основное число предметов</w:t>
      </w:r>
      <w:r>
        <w:rPr>
          <w:color w:val="494949"/>
          <w:sz w:val="28"/>
          <w:szCs w:val="28"/>
        </w:rPr>
        <w:t xml:space="preserve">. </w:t>
      </w:r>
      <w:r>
        <w:rPr>
          <w:sz w:val="28"/>
          <w:szCs w:val="28"/>
        </w:rPr>
        <w:t xml:space="preserve"> Расположение музея не отвечает стандартам качества предоставляемой услуги. 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музея планируется в 2020 году, ремонт зрительного зала запланирован на 2019 год.</w:t>
      </w:r>
    </w:p>
    <w:p>
      <w:pPr>
        <w:pStyle w:val="Normal"/>
        <w:spacing w:lineRule="auto" w:line="360"/>
        <w:ind w:firstLine="708"/>
        <w:jc w:val="both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Показатель 22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</w:p>
    <w:p>
      <w:pPr>
        <w:pStyle w:val="Normal"/>
        <w:spacing w:lineRule="auto" w:line="36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2016 году данный показатель составлял 0%. Уже в 2017 и 2018 годах доля объектов культурно наследия, находящихся в муниципальной собственности и требующих консервации или реставрации, в общем количестве объектов культурного наследия в муниципальной собственности возрос и достиг значения в 50%.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муниципальной собственности находятся 2 объекта культурного населения. Это Памятный знак в четь Амурской экспедиции Г.И. Невельского и Бюст Героя Советского Союза Петрова Григория Петровича. В процессе обследования объектов культурного значения выявлено, что один памятник истории требует реставрации, которая будет проведена в 2019 году. Сдача объекта запланирована на 2020 год.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Плановый показатель на прогнозируемый период: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50%;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- 0%;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 - 0%.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5 «Физическая культура»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23 «Доля населения, систематически занимающегося физической культурой и спортом»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населения, систематически занимающегося физической культурой и спортом, в общей численности населения в 2016 году составила 37,5%, в 2017 году – 39,3%, в 2018 году – 42,2%. </w:t>
      </w:r>
    </w:p>
    <w:p>
      <w:pPr>
        <w:pStyle w:val="Normal"/>
        <w:spacing w:lineRule="auto" w:line="36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Рост показателя связан с привлечением 8</w:t>
      </w:r>
      <w:r>
        <w:rPr>
          <w:color w:val="000000"/>
          <w:sz w:val="28"/>
          <w:szCs w:val="28"/>
        </w:rPr>
        <w:t xml:space="preserve"> тренеров-общественников для организации физкультурно-оздоровительной работы по месту жительства на территории округа. На эти цели была выделена субсидия из средств областного бюджета в размере 414,7 тыс. руб.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территории МО было проведено более 148 спортивных мероприятий: традиционные </w:t>
      </w:r>
      <w:r>
        <w:rPr>
          <w:sz w:val="28"/>
          <w:szCs w:val="28"/>
        </w:rPr>
        <w:t>соревнования по лыжным гонкам «Лыжня России», соревнования по легкой атлетике «Кросс нации», турниры по футболу и хоккею с шайбой, соревнования по национальным видам спорта. Проводились спортивные праздники, посвященные Дню физкультурника, Дню округа, Дню работников нефтяной и газовой промышленности».</w:t>
      </w:r>
      <w:r>
        <w:rPr>
          <w:color w:val="000000"/>
          <w:sz w:val="28"/>
          <w:szCs w:val="28"/>
        </w:rPr>
        <w:t xml:space="preserve">  В прогнозируемом периоде данный показатель будет увеличиваться и составит: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2019 год – 44,9%;</w:t>
      </w:r>
    </w:p>
    <w:p>
      <w:pPr>
        <w:pStyle w:val="Normal"/>
        <w:spacing w:lineRule="auto" w:line="36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47,6%;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- 50,3%.        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23.1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«Доля обучающихся, систематически занимающихся физической культурой и спортом, в общей численности обучающихся»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 в 2018 году составляет 72,1%.</w:t>
      </w:r>
    </w:p>
    <w:p>
      <w:pPr>
        <w:pStyle w:val="Normal"/>
        <w:spacing w:lineRule="auto" w:line="36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Финансирование муниципальной программы «Развитие физической культуры, спорта и молодежной политики в муниципальном образовании «Городской  округ Ногликский» на 2015 - 2020 годы» в 2018 году составило 42 728,9 тыс. рублей. </w:t>
      </w:r>
      <w:r>
        <w:rPr>
          <w:color w:val="000000"/>
          <w:sz w:val="28"/>
          <w:szCs w:val="28"/>
        </w:rPr>
        <w:t xml:space="preserve">Из средств местного бюджета приобретен и установлен дизель-генератор для МАУ СК «Арена на сумму 2 285,0 тыс. рублей и была отремонтирована кровля МАУ СК «Арена» на сумму 5 980,4 тыс. рублей.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плановом периоде   планируется увеличение доли обучающихся, систематически занимающихся физической культурой и спортом, за счет сдачи норм ГТО школьниками и привлечением к работе тренеров-общественников по месту жительства.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показатель составит: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2019 год – 76,1 %;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2020 год – 80,0 %;</w:t>
      </w:r>
    </w:p>
    <w:p>
      <w:pPr>
        <w:pStyle w:val="Normal"/>
        <w:spacing w:lineRule="auto" w:line="360"/>
        <w:ind w:firstLine="708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2021 год – 81,2 %.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6 «Жилищное строительство и обеспечение граждан жильем»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Показатель п. 24 «Общая площадь жилых помещений, приходящаяся в среднем на одного жителя, - всего»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iCs/>
          <w:sz w:val="28"/>
          <w:szCs w:val="28"/>
        </w:rPr>
      </w:pPr>
      <w:r>
        <w:rPr>
          <w:iCs/>
          <w:sz w:val="28"/>
          <w:szCs w:val="28"/>
        </w:rPr>
        <w:t>Данный показатель в 2016 году составил 25,8 кв.м, в 2017 году – 26,3 кв.м, в 2018-м – 26,1 кв.м на одного жителя. Снижение показателя 2018 года к уровню 2017 года произошло по причине отсутствия ввода в эксплуатацию многоквартирных жилых домов при сносе 1,3 тыс.кв.м аварийного жилья. Показатель на 2019-2021 годы запланирован в соответствии с муниципальной программой «Обеспечение населения муниципального образования «Городской округ Ногликский» качественным жильем». С 2019 года по 2020 год показатель останется без изменений и составит 26,1 кв.м/жителя, так как наравне со строительством новых домов будет происходить снос аварийного жилья. В 2022 году ожидается, что ввод в эксплуатацию многоквартирных домов превысит объем сносимого жилья и составит 26,2 кв.м/жителя.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Показатель 24.1 «Общая площадь жилых помещений, введенная в действие за один год, приходящаяся в среднем на одного жителя»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2016 году данный показатель составил 0,11 кв.м, в 2017 году – 0,78 кв.м, в 2018 году- 0,19 кв.м на 1 жителя. План 2018 года не достигнут, т.к. ввод многоквартирного жилого дома площадью 2,2 тыс. кв.м не осуществлен по причине нарушения логистики по доставке материалов. В 2018 году в муниципальном образовании «Городской округ Ногликский» было введено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118,9 кв.м, в том числе 2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109,7 кв.м – индивидуальные жилые дома.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2019 - 2021 годах планируется строительство многоквартирных жилых домов: 2020 г. – 9 582 кв.м, 2021 г. – 20 384 кв.м. В указанные многоквартирные жилые дома будут переселены граждане, чьи дома были признаны аварийными (в период с 2019 по 2021 годы планируется снос аварийного жилья в размере 13,3 тыс. кв.м), также будут построены арендные и ипотечные дома.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увеличения площади жилых помещений, введенных в действие, выполняется ряд необходимых мероприятий: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земельных участков (проведение кадастровых работ, постановка земельного участка на государственный кадастр недвижимости)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инженерных изысканий;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градостроительной документации;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проектной документации;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муниципальных заказов на строительство многоквартирных жилых домов.</w:t>
      </w:r>
    </w:p>
    <w:p>
      <w:pPr>
        <w:pStyle w:val="Normal"/>
        <w:tabs>
          <w:tab w:val="clear" w:pos="708"/>
          <w:tab w:val="left" w:pos="993" w:leader="none"/>
        </w:tabs>
        <w:spacing w:lineRule="auto" w:line="360"/>
        <w:ind w:left="567" w:hanging="0"/>
        <w:jc w:val="both"/>
        <w:rPr>
          <w:sz w:val="28"/>
          <w:szCs w:val="28"/>
        </w:rPr>
      </w:pPr>
      <w:r>
        <w:rPr>
          <w:sz w:val="28"/>
          <w:szCs w:val="28"/>
        </w:rPr>
        <w:t>Плановый показатель на 2019-2021 годы составит:</w:t>
      </w:r>
    </w:p>
    <w:p>
      <w:pPr>
        <w:pStyle w:val="Normal"/>
        <w:tabs>
          <w:tab w:val="clear" w:pos="708"/>
          <w:tab w:val="left" w:pos="993" w:leader="none"/>
        </w:tabs>
        <w:spacing w:lineRule="auto" w:line="360"/>
        <w:ind w:left="567" w:hanging="0"/>
        <w:jc w:val="both"/>
        <w:rPr>
          <w:sz w:val="28"/>
          <w:szCs w:val="28"/>
        </w:rPr>
      </w:pPr>
      <w:r>
        <w:rPr>
          <w:sz w:val="28"/>
          <w:szCs w:val="28"/>
        </w:rPr>
        <w:t>2019 год – 0,54 кв.м/жителя;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/>
        <w:ind w:left="567" w:hanging="0"/>
        <w:jc w:val="both"/>
        <w:rPr>
          <w:sz w:val="28"/>
          <w:szCs w:val="28"/>
        </w:rPr>
      </w:pPr>
      <w:r>
        <w:rPr>
          <w:sz w:val="28"/>
          <w:szCs w:val="28"/>
        </w:rPr>
        <w:t>2020 год – 0,61 кв.м/жителя;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/>
        <w:ind w:left="567" w:hanging="0"/>
        <w:jc w:val="both"/>
        <w:rPr>
          <w:sz w:val="28"/>
          <w:szCs w:val="28"/>
        </w:rPr>
      </w:pPr>
      <w:r>
        <w:rPr>
          <w:sz w:val="28"/>
          <w:szCs w:val="28"/>
        </w:rPr>
        <w:t>2021 год – 0,95 кв.м/жителя.</w:t>
      </w:r>
    </w:p>
    <w:p>
      <w:pPr>
        <w:pStyle w:val="1"/>
        <w:shd w:val="clear" w:color="auto" w:fill="auto"/>
        <w:spacing w:lineRule="auto" w:line="360"/>
        <w:ind w:left="20" w:firstLine="78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25 «Площадь земельных участков, предоставленных для строительства в расчете на 10 тыс. человек населения, всего»</w:t>
      </w:r>
    </w:p>
    <w:p>
      <w:pPr>
        <w:pStyle w:val="1"/>
        <w:shd w:val="clear" w:color="auto" w:fill="auto"/>
        <w:spacing w:lineRule="auto" w:line="360"/>
        <w:ind w:left="20"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Показатель, достигнутый в течение отчетного периода, составил в 2016 году 13,0 га, в 2017 году – 25,52 га, в 2018 году – 18,2 га/10 тыс.человек. Рост фактического показателя 2018 года к уровню 2017 года связан с увеличением обращений граждан на предоставление земельных участков под индивидуальное жилищное строительство. </w:t>
      </w:r>
    </w:p>
    <w:p>
      <w:pPr>
        <w:pStyle w:val="1"/>
        <w:shd w:val="clear" w:color="auto" w:fill="auto"/>
        <w:spacing w:lineRule="auto" w:line="360"/>
        <w:ind w:left="20" w:firstLine="780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Планируемый показатель на 2019-2021 годы:</w:t>
      </w:r>
    </w:p>
    <w:p>
      <w:pPr>
        <w:pStyle w:val="1"/>
        <w:shd w:val="clear" w:color="auto" w:fill="auto"/>
        <w:spacing w:lineRule="auto" w:line="360"/>
        <w:ind w:left="20" w:firstLine="780"/>
        <w:jc w:val="both"/>
        <w:rPr>
          <w:sz w:val="28"/>
          <w:szCs w:val="28"/>
        </w:rPr>
      </w:pPr>
      <w:r>
        <w:rPr>
          <w:sz w:val="28"/>
          <w:szCs w:val="28"/>
        </w:rPr>
        <w:t>2019 год – 10,0 га/10 тыс.человек;</w:t>
      </w:r>
    </w:p>
    <w:p>
      <w:pPr>
        <w:pStyle w:val="1"/>
        <w:shd w:val="clear" w:color="auto" w:fill="auto"/>
        <w:spacing w:lineRule="auto" w:line="360"/>
        <w:ind w:left="20" w:firstLine="780"/>
        <w:jc w:val="both"/>
        <w:rPr>
          <w:sz w:val="28"/>
          <w:szCs w:val="28"/>
        </w:rPr>
      </w:pPr>
      <w:r>
        <w:rPr>
          <w:sz w:val="28"/>
          <w:szCs w:val="28"/>
        </w:rPr>
        <w:t>2020 год – 10,0 га/10 тыс.человек;</w:t>
      </w:r>
    </w:p>
    <w:p>
      <w:pPr>
        <w:pStyle w:val="1"/>
        <w:shd w:val="clear" w:color="auto" w:fill="auto"/>
        <w:spacing w:lineRule="auto" w:line="360"/>
        <w:ind w:left="20" w:firstLine="780"/>
        <w:jc w:val="both"/>
        <w:rPr>
          <w:sz w:val="28"/>
          <w:szCs w:val="28"/>
        </w:rPr>
      </w:pPr>
      <w:r>
        <w:rPr>
          <w:sz w:val="28"/>
          <w:szCs w:val="28"/>
        </w:rPr>
        <w:t>2021 год - 10,0 га/10 тыс.человек.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Показатель 25.1 «Площадь земельных участков в расчете на 10 тыс. человек населения, предоставленных для жилищного строительства, индивидуального строительства и комплексного освоения в целях жилищного строительства»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2016 году данный показатель составил 5 га, в 2017 году – 4,7 га, в 2018 году – 18,2 га на 10 тыс. человек населения. Рост фактического показателя 2018 года к уровню 2017 года связан с увеличением обращений граждан на предоставление земельных участков под индивидуальное жилищное строительство.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Плановый показатель на 2019-2021 годы составит: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8,0 га/10 тыс.человек;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8,0 га/10 тыс.человек;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 -  8,0 га/10 тыс.человек.</w:t>
      </w:r>
    </w:p>
    <w:p>
      <w:pPr>
        <w:pStyle w:val="Normal"/>
        <w:spacing w:lineRule="auto" w:line="360"/>
        <w:jc w:val="both"/>
        <w:rPr>
          <w:b/>
          <w:b/>
          <w:i/>
          <w:i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b/>
          <w:i/>
          <w:sz w:val="28"/>
          <w:szCs w:val="28"/>
        </w:rPr>
        <w:t xml:space="preserve">Показатели 26.1 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подписанния протокола о результатах торгов (конкурсов, аукционов) не было получено разрешение на ввод в эксплуатацию объектов жилищного строительства – в течение 3 лет»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2016 году данный показатель составил 14 000 кв.м, в 2017 году – 10 000 кв.м, в 2018 году – 8 506 кв.м. Снижение показателя 2018 года к уровню 2017 года произошло в результате ввода индивидуальных жилых домов на арендованных земельных участках. В целях снижения показателя планируется проведение разъяснительных работ с застройщиками (круглые столы, семинары), а также оказание поддержки малому бизнесу. На 2019-2020 годы показатель планируется со значением 6 000 кв.м, в 2021 году - 5 000 кв.м.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Показатели 26.2 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– в течение 5 лет»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Величина данного показателя в 2016 году составила 24 000 кв.м, в 2017 году – 20 000 кв.м, в 2018-м – 21 000 кв.м. По сравнению с 2017 годом в 2018 году площадь земельных участков увеличилась на 1 000 кв.м. или на 1%. Увеличение показателя произошло за счет предоставления земельных участков по программе "Дальневосточный гектар".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снижения показателя планируется проведение разъяснительных работ с застройщиками (круглые столы, семинары), а также оказание поддержки малому бизнесу. На 2019-2020 годы показатель планируется со значением от 16 000 кв.м в 2019-м и 2020 годах до 12 000 кв.м в 2021-м.</w:t>
      </w:r>
    </w:p>
    <w:p>
      <w:pPr>
        <w:pStyle w:val="Normal"/>
        <w:spacing w:lineRule="auto" w:line="360"/>
        <w:jc w:val="center"/>
        <w:rPr>
          <w:b/>
          <w:b/>
          <w:color w:val="C00000"/>
          <w:sz w:val="28"/>
          <w:szCs w:val="28"/>
        </w:rPr>
      </w:pPr>
      <w:r>
        <w:rPr>
          <w:b/>
          <w:sz w:val="28"/>
          <w:szCs w:val="28"/>
        </w:rPr>
        <w:t>Раздел 7 «Жилищно-коммунальное хозяйство»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Жилищно–коммунальная сфера – отрасль, которая напрямую связанна с повседневными интересами всех граждан. Она призвана обеспечивать потребности населения в получении качественных жилищно–коммунальных услуг, обеспечивающих комфортное проживание граждан.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 января 2019 года на территории муниципального образования действуют 5 предприятий жилищно–коммунального хозяйства, 1 из которых является многоотраслевым. Содержанием и текущим ремонтом жилья заняты 4 организации, в том числе 2 ТСЖ.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Среднесписочная численность работников в отрасли – 457 человек.   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Приоритетными задачами в сфере развития ЖКХ муниципального образования «Городской округ Ногликский» являются: 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Реализация мероприятий муниципальной программы «Обеспечение населения МО «Городской округ Ногликский» качественными услугами жилищно–коммунального хозяйства на 2015–2020 годы», в том числе: 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Энергосбережение и повышение энергетической эффективности (Подпрограмма № 1).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Модернизация объектов коммунальной инфраструктуры (Подпрограмма № 2).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Комплексный и капитальный ремонт и реконструкция жилищного фонда (Подпрограмма № 3)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Мероприятия по формированию в коммунальном секторе благоприятных условий для реализации инвестиционных проектов.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Мероприятия по возмещению недополученных доходов и (или) финансового обеспечения (возмещения) затрат в связи с производством (реализацией товаров, выполнением работ, оказанием услуг в сфере ЖКХ.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Мероприятия по регулированию численности безнадзорных животных.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Реализация мероприятий муниципальной программы «Развитие инфраструктуры и благоустройство населенных пунктов МО «Городской округ Ногликский» на 2015–2020 годы» в том числе: 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Дорожное хозяйство. 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Благоустройство.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Реализация мероприятий муниципальной программы «Формирование современной городской среды в муниципальном образовании «Городской округ Ногликский» на 2018–2023 годы».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Реализация мероприятий муниципальной программы «Газификация МО «Городской округ Ногликский».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Реализация мероприятий муниципальной программы «Обеспечение населения МО «Городской округ Ногликский» качественным жильем» (в части сноса ветхого и аварийного жилого фонда).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 рамках реализации мероприятий в области жилищного хозяйства в 2018 году произведены следующие работы: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некоммерческой организацией «Фонд капитального ремонта многоквартирных домов Сахалинской области» был произведен капительный ремонт общедомовой системы электроснабжения дома 1 по ул. Вокзальная, крыши дома № 1А по ул. Вокзальная, общедомовой системы электроснабжения, теплоснабжения, водоснабжения дома 48 по ул. Советская;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ООО «Жилсервис «Ноглики» произведен капитальный ремонт: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фасада дома № 2 А по ул. Советская, дома № 1 по ул. Гагарина;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крыши дома № 1 по ул. Вокзальной, дома № 61 по ул. Советской;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системы водоснабжения дома № 12 по ул. Репина;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системы теплоснабжения дома № 8 по ул. Физкультурной;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в рамках реализации мероприятия «Проведение ремонтных работ на отдельных элементах общего имущества многоквартирных домов» за счет средств областного и местного бюджетов были выполнены работы по ремонту общего имущества 56 многоквартирных домов (ремонт подъездов), в том числе: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ООО «Жилсервис «Ноглики» было отремонтировано 47 подъездов в многоквартирных домах пгт. Ноглики;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МУП «Управляющая организация «Ноглики» было отремонтировано 2 подъезда по адресу пгт. Ноглики, ул. Гагарина, д. 2;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ТСЖ «Городок» было отремонтировано 5 подъездов по адресам: пгт. Ноглики, ул. Штернберга, д. 6 (1 подъезд), ул. Штернберга, д. 5 (2 подъезда), ул. Штернберга, д. 10 (2 подъезда);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индивидуальным предпринимателем Ляшковым А.Н. были выполнены работы по инженерному обследованию жилых домов, расположенных по адресам: пгт. Ноглики, ул. Тымская, д. 7, ул. Первомайская, д. 6 и д. 7, ул. Физкультурная, д. 70а, ул. Буровиков, д. 10, ул. Советская, д .33;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ООО «Спецавтотранспорт» были выполнены работы по сносу многоквартирных домов, расположенных по адресам: пгт. Ноглики, ул. Репина, д. 2, ул. Строительная, д. 22а и д. 25, ул. Физкультурная, д. 53а).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  <w:u w:val="single"/>
        </w:rPr>
      </w:pPr>
      <w:r>
        <w:rPr>
          <w:color w:val="0D0D0D" w:themeColor="text1" w:themeTint="f2"/>
          <w:sz w:val="28"/>
          <w:szCs w:val="28"/>
        </w:rPr>
        <w:t>В рамках реализации мероприятий в области коммунального хозяйства в 2018 году были выполнены следующие работы: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капитальный ремонт системы водоснабжения по ул. Родниковая, д. 3, по ул. Энтузиастов;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переключение потребителей электроэнергии с ТП - 6/0,4 кВ № 49 на ТП 6/0,4 кВ № 46;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капительный ремонт системы водоотведения по ул. Депутатская, д. 4 с монтажом трубопровода, 2 колодцев;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 системы водоснабжения с укладкой водопровода подключением жилых домов по ул. Трассовая с. Вал.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мероприятия «Обеспечение безаварийной работы жилищно–коммунального комплекса» были выполнены работы по: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капительному ремонту 162 м. сетей теплоснабжения, 2 082,0 м. сетей водоснабжения, 201 п.м. сетей водоотведения,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замене 10 180 м провода АС-35 сетей электроснабжения в с. Ныш на провод СИП, ремонту 95 промежуточных и 32 анкерных деревянных опор, замены 57 светильников для ламп РКУ на светодиодные светильники уличного освещения;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разработке рабочей документации на капитальный ремонт сетей инженерной инфраструктуры по ул. Пролетарской пгт. Ноглики;</w:t>
      </w:r>
    </w:p>
    <w:p>
      <w:pPr>
        <w:pStyle w:val="Normal"/>
        <w:spacing w:lineRule="auto" w:line="36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приобретению, поставке </w:t>
      </w:r>
      <w:r>
        <w:rPr>
          <w:color w:val="000000"/>
          <w:sz w:val="28"/>
          <w:szCs w:val="28"/>
        </w:rPr>
        <w:t>оборудования и запасных частей для источников теплоснабжения;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поставке резервного источника электроснабжения (мощностью 250 кВт/кВА).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Реализация комплекса обозначенных выше мероприятий позволила уменьшить показатели по количеству внеплановых отключений на инженерных сетях, сбоям в работе инженерного оборудования, снизить уровень износа основных фондов объектов коммунальной инфраструктуры города, сократить потери энергоресурсов.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 2019-2021 годах муниципальным образованием продолжатся работы, связанные с реализацией мероприятий муниципальных программ, направленных на улучшение качества оказания жилищно-коммунальных услуг.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Показатель 27 «Доля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домами»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По итогам 2016 и 2017 годов данный показатель составлял 100%, в 2018 году – 71,8%. 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 2018 году на территории муниципального образования «Городской округ Ногликский» осуществляли деятельность по управлению многоквартирными ломами 2 товарищества собственников жилья и 2 управляющие организации.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Показатель 2018 года рассчитан исходя из общего количества многоквартирных домов, расположенных на территории муниципального образования (181 дом) и 130 домов, собственники которых выбрали следующие способы управления: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непосредственный способ управления – 110 домов;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 под управлением ТСЖ находятся – 11 домов;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- выбрали управляющую организацию – 9 домов. 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Изменение данного показателя в течение прогнозируемого периода не планируется.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Показатель 28 «Доля организации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района)»</w:t>
      </w:r>
    </w:p>
    <w:p>
      <w:pPr>
        <w:pStyle w:val="Normal"/>
        <w:spacing w:lineRule="auto" w:line="360"/>
        <w:ind w:firstLine="567"/>
        <w:jc w:val="both"/>
        <w:rPr>
          <w:iCs/>
          <w:color w:val="0D0D0D" w:themeColor="text1" w:themeTint="f2"/>
          <w:sz w:val="28"/>
          <w:szCs w:val="28"/>
        </w:rPr>
      </w:pPr>
      <w:r>
        <w:rPr>
          <w:iCs/>
          <w:sz w:val="28"/>
          <w:szCs w:val="28"/>
        </w:rPr>
        <w:t xml:space="preserve">За отчетный период 2016 - 2018 годов этот показатель составлял 60,0 %. На территории муниципального образования «Городской округ Ногликский» осуществляют деятельность в области коммунальных услуг 7 организаций, в том числе: 5 акционерных общества и 2 предприятия, которые имеют в уставном </w:t>
      </w:r>
      <w:r>
        <w:rPr>
          <w:iCs/>
          <w:color w:val="0D0D0D" w:themeColor="text1" w:themeTint="f2"/>
          <w:sz w:val="28"/>
          <w:szCs w:val="28"/>
        </w:rPr>
        <w:t>капитале более 25 % участие субъекта Российской Федерации и муниципального района.</w:t>
      </w:r>
    </w:p>
    <w:p>
      <w:pPr>
        <w:pStyle w:val="Normal"/>
        <w:spacing w:lineRule="auto" w:line="360"/>
        <w:ind w:firstLine="567"/>
        <w:jc w:val="both"/>
        <w:rPr>
          <w:iCs/>
          <w:color w:val="0D0D0D" w:themeColor="text1" w:themeTint="f2"/>
          <w:sz w:val="28"/>
          <w:szCs w:val="28"/>
        </w:rPr>
      </w:pPr>
      <w:r>
        <w:rPr>
          <w:iCs/>
          <w:color w:val="0D0D0D" w:themeColor="text1" w:themeTint="f2"/>
          <w:sz w:val="28"/>
          <w:szCs w:val="28"/>
        </w:rPr>
        <w:t>В связи с тем, что в муниципальном образовании не планируется укрупнение муниципальных предприятий, оказывающих коммунальные услуги, и организация новых предприятий, имеющих уставной частный капитал, изменение показателя до 2021 года не планируется, в прогнозируемом периоде он составит 60,0%.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Показатель 29 «Доля многоквартирных домов, расположенных на земельных участках, в отношении которых осуществлен государственный кадастровый учет»</w:t>
      </w:r>
    </w:p>
    <w:p>
      <w:pPr>
        <w:pStyle w:val="Normal"/>
        <w:spacing w:lineRule="auto" w:line="360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течение отчетного периода с 2016-го по 2018 годы данный показатель равнялся 27%. В связи со сносом ветхого аварийного жилья и освобождением под строительные площадки земельных участков, ранее оформленных под многоквартирные жилые дома, значение показателя фактически не изменилось. В прогнозируемом периоде данный показатель также не претерпит изменений и останется на уровне отчетного периода.</w:t>
      </w:r>
    </w:p>
    <w:p>
      <w:pPr>
        <w:pStyle w:val="Normal"/>
        <w:spacing w:lineRule="auto" w:line="360"/>
        <w:ind w:firstLine="709"/>
        <w:jc w:val="both"/>
        <w:rPr>
          <w:b/>
          <w:b/>
          <w:i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Показатель  30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Данный показатель по итогам 2016 года составил 2,95%, 2017 года- 3,8%, 2018 года – 3,0%. Снижение показателя в 2018 году к уровню 2017 года объясняется тем, что в течение 2018 года не было произведено ввода в эксплуатацию многоквартирных жилых домов, строительство осуществлялось лишь посредством индивидуальной жилой застройки.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 2018 году улучшили свои жилищные условия 31 человек, что составило 3,0% от общей численности, стоявших в очереди (1 033 человек). В 2017 году из 1 052 человек, стоящих в очереди на улучшение жилищных условий, 40 человек улучшили свои жилищные условия.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 связи с тем, что в течение 2019-2021 годов в муниципальном образовании «Городской округ Ногликский» во вновь построенные</w:t>
      </w:r>
      <w:r>
        <w:rPr>
          <w:sz w:val="28"/>
          <w:szCs w:val="28"/>
        </w:rPr>
        <w:t xml:space="preserve"> многоквартирные жилые дома будут переселены граждане, чьи дома были признаны аварийными, </w:t>
      </w:r>
      <w:r>
        <w:rPr>
          <w:color w:val="0D0D0D" w:themeColor="text1" w:themeTint="f2"/>
          <w:sz w:val="28"/>
          <w:szCs w:val="28"/>
        </w:rPr>
        <w:t>показатель планируется на уровне 2018 года (3,0 %).</w:t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8 «Организация муниципального управления»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на территории муниципального образования продолжилась реализация 17-ти муниципальных программ, одна из которых ведомственная целевая программа. Из них в социальной сфере – 6 программ, в сфере ЖКХ и благоустройства населенных пунктов - 4, в сфере строительство - 1, в сфере экономики и развития малого бизнеса -2, в сфере муниципального управления 4 программы.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мероприятий муниципальных программ совокупный объем освоенных средств за счет всех источников финансирования в 2018 году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1,61 млрд.рублей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(факт 2017 года – 1,56 млрд.рублей).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Федерального закона от 27.07.2010 № 210-ФЗ «Об организации предоставления государственных и муниципальных услуг» и распоряжения Правительства Сахалинской области от 30.04.2015 № 191-р «Об оптимизации предоставления муниципальных услуг и государственных услуг, предоставляемых органами местного самоуправления» постановлением администрации от 13.03.2018 № 250 утверждён 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области». В настоящее время Перечень актуализирован, всего в него внесено 85 услуг.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распоряжениями Правительства Сахалинской области </w:t>
      </w:r>
      <w:r>
        <w:rPr>
          <w:bCs/>
          <w:sz w:val="28"/>
          <w:szCs w:val="28"/>
        </w:rPr>
        <w:t>от 14.05.2018 № 210, 04.09.2018 № 440</w:t>
      </w:r>
      <w:r>
        <w:rPr>
          <w:sz w:val="28"/>
          <w:szCs w:val="28"/>
        </w:rPr>
        <w:t xml:space="preserve"> переработано 79 регламентов. Утвержденные регламенты опубликованы или направлены для опубликования в газете «Знамя труда» и размещены на официальном сайте муниципального образования «Городской округ Ногликский».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2018 год предоставлена 2 731 муниципальная и государственная услуга, в том числе 671 услуга оказана в электронном виде.</w:t>
      </w:r>
    </w:p>
    <w:p>
      <w:pPr>
        <w:pStyle w:val="BodyText3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 2018 года в администрацию муниципального образования «Городской округ Ногликский» поступило письменных и устных обращений граждан – 529 (в аналогичном периоде прошлого года – 610 обращений), из них жалоб – 45. </w:t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47"/>
        <w:gridCol w:w="3099"/>
        <w:gridCol w:w="3099"/>
      </w:tblGrid>
      <w:tr>
        <w:trPr>
          <w:trHeight w:val="513" w:hRule="atLeast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Форма обращения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>
        <w:trPr>
          <w:trHeight w:val="300" w:hRule="atLeast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обращения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</w:tr>
      <w:tr>
        <w:trPr>
          <w:trHeight w:val="316" w:hRule="atLeast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Устные обращения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</w:tr>
      <w:tr>
        <w:trPr>
          <w:trHeight w:val="316" w:hRule="atLeast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</w:t>
            </w:r>
          </w:p>
        </w:tc>
      </w:tr>
    </w:tbl>
    <w:p>
      <w:pPr>
        <w:pStyle w:val="BodyText3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BodyText3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поступивших коллективных обращений:</w:t>
      </w:r>
    </w:p>
    <w:p>
      <w:pPr>
        <w:pStyle w:val="BodyText3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35"/>
        <w:gridCol w:w="3105"/>
        <w:gridCol w:w="3105"/>
      </w:tblGrid>
      <w:tr>
        <w:trPr>
          <w:trHeight w:val="507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обращения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>
        <w:trPr>
          <w:trHeight w:val="289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Письменные обращения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>
        <w:trPr>
          <w:trHeight w:val="305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Устные обращения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>
        <w:trPr>
          <w:trHeight w:val="305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</w:tbl>
    <w:p>
      <w:pPr>
        <w:pStyle w:val="BodyText3"/>
        <w:shd w:val="clear" w:color="auto" w:fill="FFFFFF"/>
        <w:spacing w:lineRule="auto" w:line="360" w:before="0" w:after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BodyText3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вопросы коллективных обращений: </w:t>
      </w:r>
    </w:p>
    <w:p>
      <w:pPr>
        <w:pStyle w:val="BodyText3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предоставлении жилых помещений;</w:t>
      </w:r>
    </w:p>
    <w:p>
      <w:pPr>
        <w:pStyle w:val="BodyText3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сроках переселения из аварийного жилого фонда муниципального образования;</w:t>
      </w:r>
    </w:p>
    <w:p>
      <w:pPr>
        <w:pStyle w:val="BodyText3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благоустройстве придомовой территории и детских площадок;</w:t>
      </w:r>
    </w:p>
    <w:p>
      <w:pPr>
        <w:pStyle w:val="BodyText3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расчистке дорог, дворовых территорий, площадок;</w:t>
      </w:r>
    </w:p>
    <w:p>
      <w:pPr>
        <w:pStyle w:val="BodyText3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нарушении правил парковки автотранспорта, в том числе на внутри дворовой территории и вне организованных автостоянок;</w:t>
      </w:r>
    </w:p>
    <w:p>
      <w:pPr>
        <w:pStyle w:val="BodyText3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отлове животных.</w:t>
      </w:r>
    </w:p>
    <w:p>
      <w:pPr>
        <w:pStyle w:val="BodyText3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обращений за 2018 год 36% приходится на жилищные вопросы (в 2017 году – 49%), на обслуживание в коммунальной сфере – 18% (в 2017 году – 15%), имущественные и земельные отношения – 13% (в 2017 году – 16%).</w:t>
      </w:r>
    </w:p>
    <w:p>
      <w:pPr>
        <w:pStyle w:val="BodyText3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01 января по 31 декабря 2018 года первыми руководителями администрации муниципального образования «Городской округ Ногликский» проведено 24 приема граждан по личным вопросам (в 2017 году - 30), на которых принято 132 человека (в 2017 году - 183).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2018 года первые руководители администрации муниципального образования приняли участие в 19 торжественных мероприятиях и встречах с населением. </w:t>
      </w:r>
    </w:p>
    <w:p>
      <w:pPr>
        <w:pStyle w:val="Normal"/>
        <w:spacing w:lineRule="auto" w:line="360"/>
        <w:ind w:firstLine="708"/>
        <w:jc w:val="both"/>
        <w:rPr/>
      </w:pPr>
      <w:r>
        <w:rPr>
          <w:sz w:val="28"/>
          <w:szCs w:val="28"/>
        </w:rPr>
        <w:t xml:space="preserve">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 о своей деятельности органы местного самоуправления муниципального образования постоянно информирует население через газету «Знамя труда», новостные выпуски Ногликской телестудии и сайт администрации </w:t>
      </w:r>
      <w:hyperlink r:id="rId3">
        <w:r>
          <w:rPr>
            <w:rStyle w:val="Style16"/>
            <w:color w:val="auto"/>
            <w:sz w:val="28"/>
            <w:szCs w:val="28"/>
            <w:lang w:val="en-US"/>
          </w:rPr>
          <w:t>www</w:t>
        </w:r>
        <w:r>
          <w:rPr>
            <w:rStyle w:val="Style16"/>
            <w:color w:val="auto"/>
            <w:sz w:val="28"/>
            <w:szCs w:val="28"/>
          </w:rPr>
          <w:t>.n</w:t>
        </w:r>
        <w:r>
          <w:rPr>
            <w:rStyle w:val="Style16"/>
            <w:color w:val="auto"/>
            <w:sz w:val="28"/>
            <w:szCs w:val="28"/>
            <w:lang w:val="en-US"/>
          </w:rPr>
          <w:t>ogliki</w:t>
        </w:r>
        <w:r>
          <w:rPr>
            <w:rStyle w:val="Style16"/>
            <w:color w:val="auto"/>
            <w:sz w:val="28"/>
            <w:szCs w:val="28"/>
          </w:rPr>
          <w:t>-</w:t>
        </w:r>
        <w:r>
          <w:rPr>
            <w:rStyle w:val="Style16"/>
            <w:color w:val="auto"/>
            <w:sz w:val="28"/>
            <w:szCs w:val="28"/>
            <w:lang w:val="en-US"/>
          </w:rPr>
          <w:t>adm</w:t>
        </w:r>
        <w:r>
          <w:rPr>
            <w:rStyle w:val="Style16"/>
            <w:color w:val="auto"/>
            <w:sz w:val="28"/>
            <w:szCs w:val="28"/>
          </w:rPr>
          <w:t>.</w:t>
        </w:r>
        <w:r>
          <w:rPr>
            <w:rStyle w:val="Style16"/>
            <w:color w:val="auto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отчётный период администрацией МО «Городской округ Ногликский» на официальном сайте муниципального образования опубликовано 278 новостей (2017 год – 142). Путем телевещания доведено до сведения жителей муниципалитета официальная информация о социально-экономическом и культурном развитии муниципального образования, о развитии его общественной инфраструктуры в 83 выходах в эфир (2017 год - 84). В газете «Знамя труда» опубликовано 245 статей (2017 год - 126) о деятельности администрации и предприятий муниципального образования, культурно-массовых мероприятиях и спортивной жизни района.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в социальных сетях открыта страница «Наши Ноглики» в </w:t>
      </w:r>
      <w:r>
        <w:rPr>
          <w:sz w:val="28"/>
          <w:szCs w:val="28"/>
          <w:lang w:val="en-US"/>
        </w:rPr>
        <w:t>Instagram</w:t>
      </w:r>
      <w:r>
        <w:rPr>
          <w:sz w:val="28"/>
          <w:szCs w:val="28"/>
        </w:rPr>
        <w:t xml:space="preserve">, созданы группы в </w:t>
      </w:r>
      <w:r>
        <w:rPr>
          <w:sz w:val="28"/>
          <w:szCs w:val="28"/>
          <w:lang w:val="en-US"/>
        </w:rPr>
        <w:t>Facebook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Vk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Ok</w:t>
      </w:r>
      <w:r>
        <w:rPr>
          <w:sz w:val="28"/>
          <w:szCs w:val="28"/>
        </w:rPr>
        <w:t>. В социальных сетях размещается   информация о социально-экономическом и культурном развитии муниципального образования.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31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   </w:t>
      </w:r>
      <w:r>
        <w:rPr>
          <w:sz w:val="28"/>
          <w:szCs w:val="28"/>
        </w:rPr>
        <w:t>Доля налоговых и неналоговых доходов бюджета муниципального образования «Городской округ Ногликский» в общем объеме собственных доходов в 2016 году составила 52,51%, в 2017 году – 34,04%, 2018 году – 48,24%.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доли налоговых и неналоговых доходов местного бюджета (за исключением поступлений налоговых доходов по дополнительным нормативам отчислений) объясняется увеличением объема поступлений налоговых и неналоговых доходов, В 2017 году произведен возврат ПАО «НК «Роснефть» переплаты по налогу на имущество организаций, что существенно снизило поступления по налогу. В отчетном году рост по налогу на имущество организаций за счет увеличения среднегодовой стоимости имущества организаций, и налоговой ставки с 1,1% на 2,2% на имущество, </w:t>
      </w:r>
      <w:r>
        <w:rPr>
          <w:rFonts w:eastAsia="Calibri" w:eastAsiaTheme="minorHAnsi"/>
          <w:sz w:val="28"/>
          <w:szCs w:val="28"/>
          <w:lang w:eastAsia="en-US"/>
        </w:rPr>
        <w:t>закрепленное на праве оперативного управления за органами государственными органами Сахалинской области, органами местного самоуправления, областными и муниципальными бюджетными учреждениями.</w:t>
      </w:r>
      <w:r>
        <w:rPr>
          <w:sz w:val="28"/>
          <w:szCs w:val="28"/>
        </w:rPr>
        <w:t xml:space="preserve"> Рост по земельному налогу организаций объясняется отменой с 01 января 2018 года льгот по уплате налога учреждениям, финансируемым из областного и местного бюджетов.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мобилизации доходов и сокращения задолженности по платежам в местный бюджет, в муниципальном образовании «Городской округ Ногликский» на постоянной основе осуществляется мониторинг динамики поступлений в местный бюджет, проводятся заседания межведомственной комиссии по мобилизации доходов и другие мероприятия. В отчетном году проведено 5 заседаний межведомственной комиссии по мобилизации доходов в бюджет МО «Городской округ Ногликский» с участием межрайонной ИФНС России № 4 по Сахалинской области, отдела судебных приставов по Ногликскому району УФССП России по Сахалинской области и 1 заседание комиссии по урегулированию задолженности в Ногликском отделении налоговой инспекции. Проводится постоянная работа по погашению задолженности по имущественным налогам, в том числе муниципальных служащих и работников муниципальных учреждений и ресурсоснабжающих организаций. В адрес руководителей организаций и учреждений направляются списки с указанием должников по имущественным налогам с целью информирования и последующей самостоятельной оплаты недоимки работниками. Должники по имущественным налогам приглашаются на заседания комиссии для выяснения причин образования недоимки. Оплата задолженности стоит на контроле в финансовом управлении, проводятся регулярные сверки по оплате недоимки с налоговой инспекцией. Также совместно с налоговыми органами проводится работа по постановке на налоговый учет и уплате налогов иногородних организаций. По мере поступления информации об организациях, прибывших на территорию муниципального образования для выполнения работ по муниципальным контрактам, в УФНС по Сахалинской области и Межрайонную ИФНС России № 4 по Сахалинской области направляется информация с указанием наименования и адреса организации, ИНН, сведений о контракте.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 плановый показатель доли налоговых и неналоговых доходов снижен в связи с ростом объемов безвозмездных поступлений от других бюджетов бюджетной системы Российской Федерации в виде субсидий и иных межбюджетных трансфертов. В 2021 году наблюдается значительный рост доли налоговых и неналоговых доходов за счет отсутствия дотации и межбюджетных субсидий. На 2019 год межбюджетные субсидии запланированы в сумме 301 015,5 тыс. рублей, на 2020 год в сумме 549 483,6 тыс. рублей, на 2021 год субсидии не предусмотрены:</w:t>
      </w:r>
    </w:p>
    <w:p>
      <w:pPr>
        <w:pStyle w:val="Normal"/>
        <w:spacing w:lineRule="auto" w:line="360"/>
        <w:jc w:val="right"/>
        <w:rPr>
          <w:sz w:val="28"/>
          <w:szCs w:val="28"/>
        </w:rPr>
      </w:pPr>
      <w:r>
        <w:rPr>
          <w:sz w:val="28"/>
          <w:szCs w:val="28"/>
        </w:rPr>
        <w:t>(млн. рублей)</w:t>
      </w:r>
    </w:p>
    <w:tbl>
      <w:tblPr>
        <w:tblStyle w:val="a4"/>
        <w:tblW w:w="924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1"/>
        <w:gridCol w:w="1056"/>
        <w:gridCol w:w="1212"/>
        <w:gridCol w:w="1134"/>
        <w:gridCol w:w="1134"/>
        <w:gridCol w:w="1275"/>
      </w:tblGrid>
      <w:tr>
        <w:trPr/>
        <w:tc>
          <w:tcPr>
            <w:tcW w:w="343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056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21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2021</w:t>
            </w:r>
          </w:p>
        </w:tc>
      </w:tr>
      <w:tr>
        <w:trPr/>
        <w:tc>
          <w:tcPr>
            <w:tcW w:w="34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Налоговые и неналоговые доходы (за исключением поступлений налоговых доходов по дополнительным нормативам отчислений)</w:t>
            </w:r>
          </w:p>
        </w:tc>
        <w:tc>
          <w:tcPr>
            <w:tcW w:w="105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583,0</w:t>
            </w:r>
          </w:p>
        </w:tc>
        <w:tc>
          <w:tcPr>
            <w:tcW w:w="1212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724,3</w:t>
            </w:r>
          </w:p>
        </w:tc>
        <w:tc>
          <w:tcPr>
            <w:tcW w:w="1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730,2</w:t>
            </w:r>
          </w:p>
        </w:tc>
        <w:tc>
          <w:tcPr>
            <w:tcW w:w="1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762,1</w:t>
            </w:r>
          </w:p>
        </w:tc>
        <w:tc>
          <w:tcPr>
            <w:tcW w:w="127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789,8</w:t>
            </w:r>
          </w:p>
        </w:tc>
      </w:tr>
      <w:tr>
        <w:trPr/>
        <w:tc>
          <w:tcPr>
            <w:tcW w:w="34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Собственные доходы</w:t>
            </w:r>
          </w:p>
        </w:tc>
        <w:tc>
          <w:tcPr>
            <w:tcW w:w="105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1 712,9</w:t>
            </w:r>
          </w:p>
        </w:tc>
        <w:tc>
          <w:tcPr>
            <w:tcW w:w="1212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1 501,6</w:t>
            </w:r>
          </w:p>
        </w:tc>
        <w:tc>
          <w:tcPr>
            <w:tcW w:w="1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2 135,1</w:t>
            </w:r>
          </w:p>
        </w:tc>
        <w:tc>
          <w:tcPr>
            <w:tcW w:w="1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1 716,6</w:t>
            </w:r>
          </w:p>
        </w:tc>
        <w:tc>
          <w:tcPr>
            <w:tcW w:w="127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1 194,8</w:t>
            </w:r>
          </w:p>
        </w:tc>
      </w:tr>
      <w:tr>
        <w:trPr/>
        <w:tc>
          <w:tcPr>
            <w:tcW w:w="34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Доля налоговых и неналоговых доходов в собственных, %</w:t>
            </w:r>
          </w:p>
        </w:tc>
        <w:tc>
          <w:tcPr>
            <w:tcW w:w="105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34,04</w:t>
            </w:r>
          </w:p>
        </w:tc>
        <w:tc>
          <w:tcPr>
            <w:tcW w:w="1212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48,24</w:t>
            </w:r>
          </w:p>
        </w:tc>
        <w:tc>
          <w:tcPr>
            <w:tcW w:w="1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34,20</w:t>
            </w:r>
          </w:p>
        </w:tc>
        <w:tc>
          <w:tcPr>
            <w:tcW w:w="1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44,40</w:t>
            </w:r>
          </w:p>
        </w:tc>
        <w:tc>
          <w:tcPr>
            <w:tcW w:w="127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66,10</w:t>
            </w:r>
          </w:p>
        </w:tc>
      </w:tr>
    </w:tbl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32</w:t>
      </w:r>
      <w:r>
        <w:rPr>
          <w:b/>
          <w:i/>
          <w:iCs/>
          <w:sz w:val="28"/>
          <w:szCs w:val="28"/>
        </w:rPr>
        <w:t xml:space="preserve">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основных фондов организаций муниципальной формы собственности, находящихся в стадии банкротства, в общей стоимости основных фондов организаций муниципальной формы собственности в отчетном и прогнозируемом периодах отсутствует. </w:t>
      </w:r>
    </w:p>
    <w:p>
      <w:pPr>
        <w:pStyle w:val="Normal"/>
        <w:spacing w:lineRule="auto" w:line="360"/>
        <w:jc w:val="both"/>
        <w:rPr>
          <w:b/>
          <w:b/>
          <w:i/>
          <w:i/>
          <w:iCs/>
          <w:sz w:val="28"/>
          <w:szCs w:val="28"/>
        </w:rPr>
      </w:pPr>
      <w:r>
        <w:rPr>
          <w:iCs/>
          <w:color w:val="C00000"/>
          <w:sz w:val="28"/>
          <w:szCs w:val="28"/>
        </w:rPr>
        <w:t xml:space="preserve"> </w:t>
      </w:r>
      <w:r>
        <w:rPr>
          <w:iCs/>
          <w:color w:val="C00000"/>
          <w:sz w:val="28"/>
          <w:szCs w:val="28"/>
        </w:rPr>
        <w:tab/>
      </w:r>
      <w:r>
        <w:rPr>
          <w:i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Показатель 33 «Объем не завершенного в установленные сроки строительства, осуществляемого за счет средств бюджета городского округа (муниципального района)»</w:t>
      </w:r>
    </w:p>
    <w:p>
      <w:pPr>
        <w:pStyle w:val="BodyTextIndent2"/>
        <w:spacing w:lineRule="auto" w:line="360"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2016 года данный показатель составил 46 384,5 тыс.руб., 2017 года – 7 641,5 тыс.руб., 2018 года – 35 840,5 тыс.руб. В 2018 году объем незавершенного в установленные сроки строительства (фактически произведенные затраты по объектам, незавершенные строительством, за весь период с начала их строительства до конца отчетного года) за счет средств местного бюджета составил 35 840,5 тыс.рублей, из них по объектам:</w:t>
      </w:r>
    </w:p>
    <w:p>
      <w:pPr>
        <w:pStyle w:val="BodyTextIndent2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канализационного коллектора в микрорайоне УЖД в размере 25 059,6 тыс.руб. (подрядчик нарушил обязательства. Ведется претензионная работа);</w:t>
      </w:r>
    </w:p>
    <w:p>
      <w:pPr>
        <w:pStyle w:val="BodyTextIndent2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48-квартирного жилого дома в пгт. Ноглики по ул. Петрова, 3 (нарушена логистика) в размере 10 780,9 тыс. руб.</w:t>
      </w:r>
    </w:p>
    <w:p>
      <w:pPr>
        <w:pStyle w:val="BodyTextIndent2"/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Объекты, строительство которых начато в 2017 году, за исключением 48-квартарного жилого дома МЖД по ул. Петрова, 3 завершены, введены в эксплуатацию. </w:t>
      </w:r>
    </w:p>
    <w:p>
      <w:pPr>
        <w:pStyle w:val="BodyTextIndent2"/>
        <w:tabs>
          <w:tab w:val="clear" w:pos="708"/>
          <w:tab w:val="left" w:pos="993" w:leader="none"/>
        </w:tabs>
        <w:spacing w:lineRule="auto" w:line="360"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Плановый показатель на 2019–2021 годы составит 0 тыс.руб. в каждом период.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34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</w:p>
    <w:p>
      <w:pPr>
        <w:pStyle w:val="ConsPlus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В течение 2016–2018 годов просроченная задолженность по оплате труда с начислениями на выплаты по заработной плате работникам муниципальных учреждений в муниципальном образовании отсутствует. В прогнозируемом периоде плановый показатель запланирован на уровне отчетного года.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35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2016 года расходы местного бюджета на содержание работников органа местного самоуправления в расчете на 1 жителя составили 11 708,0 руб., в 2017 году – 12 203,0 руб., в 2018 году – 12 357,9 руб.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рост расходов местного бюджета на содержание работников органов местного самоуправления в 2018 году повлияло повышение должностных окладов в 1,04 раза с 01 января 2018 года.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2019-2021 годов расходы запланирован</w:t>
      </w:r>
      <w:bookmarkStart w:id="1" w:name="_GoBack"/>
      <w:bookmarkEnd w:id="1"/>
      <w:r>
        <w:rPr>
          <w:sz w:val="28"/>
          <w:szCs w:val="28"/>
        </w:rPr>
        <w:t>ы в следующих объемах в расчете на 1 жителя:</w:t>
      </w:r>
    </w:p>
    <w:tbl>
      <w:tblPr>
        <w:tblW w:w="9369" w:type="dxa"/>
        <w:jc w:val="left"/>
        <w:tblInd w:w="9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7"/>
        <w:gridCol w:w="1434"/>
        <w:gridCol w:w="1420"/>
        <w:gridCol w:w="1417"/>
      </w:tblGrid>
      <w:tr>
        <w:trPr>
          <w:trHeight w:val="315" w:hRule="atLeast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14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>
        <w:trPr>
          <w:trHeight w:val="627" w:hRule="atLeast"/>
        </w:trPr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работников органов местного самоуправления </w:t>
            </w:r>
          </w:p>
        </w:tc>
        <w:tc>
          <w:tcPr>
            <w:tcW w:w="14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143 439,4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143 855,2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144 333,4</w:t>
            </w:r>
          </w:p>
        </w:tc>
      </w:tr>
      <w:tr>
        <w:trPr>
          <w:trHeight w:val="315" w:hRule="atLeast"/>
        </w:trPr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населения</w:t>
            </w:r>
          </w:p>
        </w:tc>
        <w:tc>
          <w:tcPr>
            <w:tcW w:w="14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11,32</w:t>
            </w:r>
          </w:p>
        </w:tc>
      </w:tr>
      <w:tr>
        <w:trPr>
          <w:trHeight w:val="315" w:hRule="atLeast"/>
        </w:trPr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в расчете на 1 жителя, в рублях</w:t>
            </w:r>
          </w:p>
        </w:tc>
        <w:tc>
          <w:tcPr>
            <w:tcW w:w="14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12 660,1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12 708,1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12 750,3</w:t>
            </w:r>
          </w:p>
        </w:tc>
      </w:tr>
    </w:tbl>
    <w:p>
      <w:pPr>
        <w:pStyle w:val="Normal"/>
        <w:spacing w:lineRule="auto" w:line="360"/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Arial" w:hAnsi="Arial" w:eastAsia="MS Mincho" w:cs="Arial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Рост расходов в расчете на 1 жителя в период 2019-2021 годов обусловлен увеличением расходов на иные выплаты работникам органов местного самоуправления (оплата проезда в отпуск, командировочные расходы), иные закупки товаров, работ и услуг для обеспечения деятельности органов местного самоуправления, запланированные в местном бюджета с учетом роста тарифов на уровня инфляции. 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Показатель 36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</w:p>
    <w:p>
      <w:pPr>
        <w:pStyle w:val="BodyTextIndent2"/>
        <w:spacing w:lineRule="auto" w:line="360"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муниципальное образование «Городской округ Ногликский» обеспечено документацией территориального планирования. Генеральный план городского округа утвержден решением Собрания муниципального образования «Городской округ Ногликский» от 25.09.2009 № 281.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37 «Удовлетворенность населения деятельностью органов местного самоуправления городского округа (муниципального района)»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данный показатель составил 55,17%, в 2017 году – 54,23%. В 2018 году и в плановом периоде значение показателя равно 0%. Фактические значения показателя будут представлены позднее по итогам социологического опроса.</w:t>
      </w:r>
    </w:p>
    <w:p>
      <w:pPr>
        <w:pStyle w:val="Normal"/>
        <w:spacing w:lineRule="auto" w:line="360"/>
        <w:ind w:firstLine="708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38 «Среднегодовая численность постоянного населения»</w:t>
      </w:r>
    </w:p>
    <w:p>
      <w:pPr>
        <w:pStyle w:val="Normal"/>
        <w:shd w:val="clear" w:color="auto" w:fill="FFFFFF"/>
        <w:spacing w:lineRule="auto" w:line="36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>
        <w:rPr>
          <w:sz w:val="28"/>
          <w:szCs w:val="28"/>
        </w:rPr>
        <w:t xml:space="preserve">реднегодовая численность постоянного населения за 2016-2018 годы представлена территориальным органом Федеральной службы государственной статистики по Сахалинской области и составила в 2016 году 11,33 тыс. человек, в 2017 году – 11,32 тыс. человек и в 2018 году – 11,33 тыс. человек. </w:t>
      </w:r>
    </w:p>
    <w:p>
      <w:pPr>
        <w:pStyle w:val="Normal"/>
        <w:shd w:val="clear" w:color="auto" w:fill="FFFFFF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среднегодовой численности населения в 2018 году обусловлен положительным миграционным сальдо, превысившим показатель естественной убыли населения. </w:t>
      </w:r>
    </w:p>
    <w:p>
      <w:pPr>
        <w:pStyle w:val="Normal"/>
        <w:shd w:val="clear" w:color="auto" w:fill="FFFFFF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Оценивая фактически сложившуюся величину среднегодовой численности жителей городского округа в 2018 году с плановыми показателями, необходимо отметить, что при плане в 11,31 тыс. человек фактический результат составил 11,33 тыс. человек, рост к плановым назначениям – 0,2%. </w:t>
      </w:r>
    </w:p>
    <w:p>
      <w:pPr>
        <w:pStyle w:val="Normal"/>
        <w:spacing w:lineRule="auto" w:line="36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На протяжении последних лет решающее воздействие на изменение числа жителей муниципального образования оказывали миграционные процессы. Но тенденция миграции населения такова, что в течение последних лет разница в числе убывших над прибывшими уменьшалась, и 2018 год характеризуется уже миграционным приростом в 42 человека. 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Среднегодовая чи</w:t>
      </w:r>
      <w:r>
        <w:rPr>
          <w:sz w:val="28"/>
          <w:szCs w:val="28"/>
        </w:rPr>
        <w:t xml:space="preserve">сленность населения в течение 2019-2021 годов не претерпит существенных изменений. Естественная убыль населения будет компенсироваться положительным миграционным сальдо, и в 2019 году показатель среднегодовой численности составит 11,33 тыс. человек, в 2020 году – 11,32 тыс. человек, в 2021 году – 11,32 тыс. человек. </w:t>
      </w:r>
    </w:p>
    <w:p>
      <w:pPr>
        <w:pStyle w:val="Normal"/>
        <w:spacing w:lineRule="auto" w:line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Раздел 9 «Энергосбережение и повышение энергетической эффективности»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 «Городской округ Ногликский" действует и реализуется Подпрограмма «Энергосбережение и повышение энергетической эффективности".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исполнения мероприятий по подпрограмме «Энергосбережение и повышение энергетической эффективности» за счет средств областного и местного бюджетов выполнена научно–исследовательская работа (НИР) по теме: «Разработка Программы повышение надежности эксплуатации системы теплоснабжения муниципального образования «Городской округ Ногликский». Проведена работа по анализу работы источников и системы теплоснабжения, рекомендован ряд мероприятий (строительство 4-х блочно-модульных котельных, строительство участков сетей теплоснабжения, перераспределение нагрузок на котельные №№1 и 10).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энергетической эффективности в районе ведется работа по установке приборов учета расхода энергоресурсов.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31 декабря 2018 года установлено в жилых помещениях индивидуальные приборы учета: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холодного водоснабжения – 3 804 штук, что составило 77,5% от общего числа жилых помещений, подлежащих оснащению ИПУ;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горячего водоснабжения – 109 штук, что составило – 81,3% от общего числа жилых помещений, подлежащих оснащению ИПУ;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электроснабжения – 4 224 штук, что составило 78,7% от общего числа жилых помещений, подлежащих оснащению ИПУ;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сетевого газа – 2 615 штук, что составило 63,7% от общего числа жилых помещений, подлежащих оснащению ИПУ.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конец отчетного периода оснащены общедомовыми приборами учета: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холодного водоснабжения – 73 дома, что составило 11,6% от общего числа жилых домов, подключенным к услуге водоснабжения. В связи с отсутствием технической возможности 46 домов невозможно оснастить ОПУ воды;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тепла – 43 дома что составило 21,6% от общего числа жилых домов, подключенных к услуге теплоснабжения. В связи с отсутствием технической возможности 122 дома невозможно оснастить ОПУ тепла;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электроснабжения – 174 дома что составило 27,7% от общего числа жилых домов, подключенным к услуге электроснабжения. В связи с отсутствием технической возможности 33 дома невозможно оснастить ОПУ электроснабжения;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конец отчетного 2018 года во всех бюджетных учреждениях установлены приборы учета воды, тепла, электричества.</w:t>
      </w:r>
    </w:p>
    <w:p>
      <w:pPr>
        <w:pStyle w:val="Normal"/>
        <w:spacing w:lineRule="auto" w:line="360"/>
        <w:ind w:firstLine="567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Муниципальным образованием в 2019-2021 годах продолжатся работы по достижению ежегодного снижения удельного потребления энергоресурсов в многоквартирных домах и бюджетных учреждениях в рамках основных программных мероприятий по Энергосбережению.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39</w:t>
      </w:r>
      <w:r>
        <w:rPr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Удельная величина потребления энергетических ресурсов в многоквартирных домах»</w:t>
      </w:r>
    </w:p>
    <w:p>
      <w:pPr>
        <w:pStyle w:val="Normal"/>
        <w:spacing w:lineRule="auto" w:line="360"/>
        <w:ind w:firstLine="567"/>
        <w:jc w:val="both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39.1 «Удельная величина потребления электрической энергии в многоквартирных домах»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удельное потребление электроэнергии (ЭЭ) на 1 проживающего составило 782,94 кВт/час, в 2017 году – 771,29 кВт/час, в 2018 году – 784,43 кВт/час.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за 2018 год рассчитан исходя из объема потребления ЭЭ – 7 325 014,0 кВт/ч и численности населения в 9 338 человек. Фактический показатель за 2018 год больше планового за счет увеличения потребления ЭЭ многоквартирными домами.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Прогнозируемые показатели на 2019 – 20231 годы останутся на уровне отчетного года и составят 784,43 кВт/час.</w:t>
      </w:r>
    </w:p>
    <w:p>
      <w:pPr>
        <w:pStyle w:val="Normal"/>
        <w:spacing w:lineRule="auto" w:line="360"/>
        <w:ind w:firstLine="567"/>
        <w:jc w:val="both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39.2. «Удельная величина потребления тепловой энергии в многоквартирных домах»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Удельная величина потребления тепловой энергии в 2016 и 2017 годах составила 0,2 Гкал на 1 кв.м общей площади, в 2018 году - 0,21 Гкал. 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за 2018 год рассчитан исходя из потребления теплоснабжения – 53 497 Гкал и площади МКД – 252 800,41 кв.м.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Плановый показатель на 2019 год составит 0,21 Гкал на 1 кв.м общей площади, на 2020 и 2021 годы – по 0,20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Гкал на 1 кв.м общей площади.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39.3. «Удельная величина потребления горячей воды в многоквартирных домах»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Удельная величина потребления горячей воды на 1 проживающего в 2016 году составила 15,41 куб.м, в 2017 году – 14,18 куб.м, в 2018 году - 14,87 куб.м.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за 2018 год рассчитан исходя из объема потребления горячей водой в 3 629,41 куб.м и численности населения в 244 человека.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показатель на 2019 -2021 годы составит: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2019 год – 14,72 куб.м на 1 проживающего;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 – 14,57 куб.м на 1 проживающего;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 – 14,42 куб.м на 1 проживающего.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39.4. «Удельная величина потребления холодной воды в многоквартирных домах»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Удельная величина потребления холодной воды в 2016 году составила 40,85 куб.м. на 1 проживающего в МКД, в 2017 году – 41,05 куб.м, в 2018 году – 44,4 куб.м.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за 2018 год рассчитан исходя из объема потреебления холодной воды в куб.м и численности в 7 747 человек. Увеличение показателя произошло за счет переселения из полублагоустроенного жилья в благоустроенное.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на 2019-2021 годы составят: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– 44,0 куб.м. на 1 проживающего; 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 – 43,56 куб.м. на 1 проживающего;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 – 43,12 куб.м. на 1 проживающего.</w:t>
      </w:r>
    </w:p>
    <w:p>
      <w:pPr>
        <w:pStyle w:val="Normal"/>
        <w:spacing w:lineRule="auto" w:line="360"/>
        <w:ind w:firstLine="567"/>
        <w:jc w:val="both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39.5. «Удельная величина потребления природного газа в многоквартирных домах»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потребления природного газа на 1 проживающего в 2016 году составил 500,09 куб.м., в 2017 году – 489,77 куб.м, в 2018 году - 478,69 куб. м.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2018 года рассчитан исходя из объема потребления природного газа в 4 254 090 куб.м и численности населения в 8 887 человек. Снижение показателя произошло за счет экономии потребления объема газа. </w:t>
      </w:r>
    </w:p>
    <w:p>
      <w:pPr>
        <w:pStyle w:val="NormalWeb"/>
        <w:spacing w:lineRule="auto" w:line="360" w:beforeAutospacing="0" w:before="0" w:after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на 2019-2021 годы сформированы с учетом снижения потребления природного газа и составят: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2019 год – 473,9 куб.м. на 1 проживающего;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 – 469,16 куб.м. на 1 проживающего;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 – 464,47 куб.м. на 1 проживающего.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Показатель 40 «Удельная величина потребления энергетических ресурсов муниципальными бюджетными учреждениями»</w:t>
      </w:r>
      <w:r>
        <w:rPr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40.1. «Удельная величина потребления электрической энергии муниципальными бюджетными учреждениями»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Удельное потребление электроэнергии бюджетными учреждениями на 1 жителя в 2016 году составило 428,4 кВт/ч, в 2017 году – 402,16 кВт/ч, в 2018 году - 301,86 кВт/ч.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за 2018 год рассчитан исходя из объема потребления электрической энергии в 3 421 016,63 кВт/ч и численности населения МО – 11 333 человека. Снижение данного показателя произошло за счет экономии потребления электроэнергии и вывода из эксплуатации средней образовательной школы № 2.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на 2019-2020 годы планируется с ежегодным снижением потребления энергоресурсов на 1% за счет проведения программных мероприятий по энергосбережению и плановая величина его составит: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2019 год – 298,84 кВт/ч;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 – 295,85 кВт/ч.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показателя в 2021 году до 310,73 кВт/ч планируется с учетом ввода новой СОШ № 2. 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40.2. «Удельная величина потребления тепловой энергии муниципальными бюджетными учреждениями»</w:t>
      </w:r>
    </w:p>
    <w:p>
      <w:pPr>
        <w:pStyle w:val="Normal"/>
        <w:shd w:val="clear" w:color="auto" w:fill="FFFFFF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Удельное потребление тепловой энергии на 1 кв.м отапливаемой площади бюджетными учреждениями за 2016 год составило 0,31 Гкал, за 2017 год – 0,30 Гкал, за 2018 год - 0,27 Гкал.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данного показателя произошло за счет экономии потребления теплового ресурса. Показатель 2018 года рассчитан исходя из объема потребления тепловой энергии в 13 173,73 Гкал и площади бюджетных учреждений – 48 997,0 кв.м.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на 2019-2021 годы планируется с ежегодным снижением потребления энергоресурсов на 1% за счет проведения программных мероприятий по энергосбережению. Величина его составит: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2019 год – 0,27 Гкал/1кв.м;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 – 0,26 Гкал/1кв.м;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 – 0,26 Гкал/1кв.м.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40.3 «Удельная величина потребления горячей воды муниципальными бюджетными учреждениями»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Удельное потребление горячей воды бюджетными учреждениями на 1 жителя в 2016 и 2017 годах составило 0,02 куб.м, в 2018 году - 0,03 куб. м.  Показатель за 2018 год рассчитан исходя из объема потребления горячей воды в 296,47 куб.м и численности населения – 11 333 человека. Увеличение фактического показателя за 2018 год по сравнению с плановым произошло за счет ввода в эксплуатацию бюджетного учреждения «Сервис центр».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на 2019 год планируется со снижением потребления энергоресурсов на 1% за счет проведения программных мероприятий по энергосбережению и составит 0,03 куб.м /1 жителя.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потребление горячей воды бюджетными учреждениями незначительно, показатель на 2020-2021 года планируется на уровне 2019 года, равным 0,03 куб.м/1 жителя.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40.4</w:t>
      </w:r>
      <w:r>
        <w:rPr>
          <w:b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Удельная величина потребления холодной воды муниципальными бюджетными учреждениями»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Удельное потребление холодной воды бюджетными учреждениями в расчете на 1 жителя в 2016 году составило 1,39 куб. м, в 2017 году – 1,43 куб.м, в 2018 году – 1,5 куб.м.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2018 года рассчитан исходя из объема потребления холодной воды в 16 962,31 куб.м и численности населения в 11 333 человека. Увеличение фактического показателя за 2018 год по сравнению с плановым произошло за счет ввода в эксплуатацию бюджетного учреждения «Сервис центр».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на 2019-2021 годы планируется с ежегодным снижением потребления энергоресурсов на 1% за счет проведения программных мероприятий по энергосбережению и составит по 1,5 куб.м/1 жителя ежегодно.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40.5. «Удельная величина потребления природного газа муниципальными бюджетными учреждениями»</w:t>
      </w:r>
    </w:p>
    <w:p>
      <w:pPr>
        <w:pStyle w:val="Normal"/>
        <w:spacing w:lineRule="auto" w:line="36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Бюджетные учреждения, расположенные на территории муниципального образования, в течение от четного периода (2016 – 2018 годы) природный газ не использовали. </w:t>
      </w:r>
    </w:p>
    <w:p>
      <w:pPr>
        <w:pStyle w:val="Normal"/>
        <w:spacing w:lineRule="auto" w:line="360"/>
        <w:ind w:firstLine="567"/>
        <w:jc w:val="both"/>
        <w:rPr/>
      </w:pPr>
      <w:r>
        <w:rPr>
          <w:color w:val="000000"/>
          <w:sz w:val="28"/>
          <w:szCs w:val="28"/>
        </w:rPr>
        <w:t>В плановом периоде также не предполагается использование природного газа бюджетными учреждениями. По этой причине отчетные и плановые показатели проставлены со значением 0 куб.м/1 жителя.</w:t>
      </w:r>
    </w:p>
    <w:p>
      <w:pPr>
        <w:pStyle w:val="Normal"/>
        <w:spacing w:lineRule="auto" w:line="360"/>
        <w:ind w:firstLine="567"/>
        <w:jc w:val="center"/>
        <w:rPr/>
      </w:pPr>
      <w:r>
        <w:rPr>
          <w:b/>
          <w:color w:val="000000"/>
          <w:sz w:val="28"/>
          <w:szCs w:val="28"/>
        </w:rPr>
        <w:t>Раздел 10 «Проведение независимой оценки качества условий оказания услуг организациями в сферах культуры, охраны здоровья, образования и социального обслуживания»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8"/>
          <w:szCs w:val="28"/>
        </w:rPr>
        <w:t>П</w:t>
      </w:r>
      <w:r>
        <w:rPr>
          <w:b/>
          <w:i/>
          <w:sz w:val="26"/>
          <w:szCs w:val="26"/>
        </w:rPr>
        <w:t>оказатель 41 «Результаты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«Интернет»)»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41.1. Результаты независимой оценки качества условий оказания услуг муниципальными организациями в сфере культуры,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</w:t>
      </w:r>
    </w:p>
    <w:p>
      <w:pPr>
        <w:pStyle w:val="Normal"/>
        <w:spacing w:lineRule="auto" w:line="360"/>
        <w:ind w:firstLine="567"/>
        <w:jc w:val="both"/>
        <w:rPr>
          <w:sz w:val="26"/>
          <w:szCs w:val="26"/>
        </w:rPr>
      </w:pPr>
      <w:r>
        <w:rPr>
          <w:rStyle w:val="Strong"/>
          <w:b w:val="false"/>
          <w:sz w:val="28"/>
          <w:szCs w:val="28"/>
        </w:rPr>
        <w:t xml:space="preserve"> </w:t>
      </w:r>
      <w:r>
        <w:rPr>
          <w:rStyle w:val="Strong"/>
          <w:b w:val="false"/>
          <w:sz w:val="28"/>
          <w:szCs w:val="28"/>
        </w:rPr>
        <w:t xml:space="preserve">В 2018 году оценка качества условий оказания услуг не проводилась. Предполагается проведение </w:t>
      </w:r>
      <w:r>
        <w:rPr>
          <w:sz w:val="28"/>
          <w:szCs w:val="28"/>
        </w:rPr>
        <w:t>процедуры независимой оценки качества условий оказания услуг во всех учреждениях культуры за счет средств муниципального бюджета</w:t>
      </w:r>
      <w:r>
        <w:rPr>
          <w:rStyle w:val="Strong"/>
          <w:b w:val="false"/>
          <w:sz w:val="28"/>
          <w:szCs w:val="28"/>
        </w:rPr>
        <w:t>, плановый показатель предположительно составит 79,0 балов. В 2020 и 2021 годах плановый показатель оценки качества оказания услуг будет составлять 79,0 баллов.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41.2.</w:t>
      </w:r>
      <w:r>
        <w:rPr>
          <w:b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Результаты независимой оценки качества условий оказания услуг муниципальными организациями в сфере образования,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графиком работы в 2018 году независимая оценка качества предоставления услуг в сфере образнее не проводилась.  В 2019 году планируется провести независимую оценку качества условий предоставления образовательных услуг в отношении 13 образовательных учреждений (100%).  Среднее значение прогнозного показателя установлено в   диапазоне 84 балла с учетом   результатов ранее проведенной в 2016 году независимой оценки качества и преобразований, проведенных у в учреждениях: капитальный ремонт  3  учреждений, реконструкция  входной группы  МБОУ Гимназии, оборудовании спортивных площадок, логопедических кабинетов, кабинетов психологов, и укрепления материально-технической базы учреждений в целом.</w:t>
      </w:r>
    </w:p>
    <w:p>
      <w:pPr>
        <w:pStyle w:val="Normal"/>
        <w:spacing w:lineRule="auto" w:line="3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 показатели на 2019-2021гг.: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2019 год - 84 балла;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2020 год - 0 баллов;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2021 год - 0 баллов.</w:t>
      </w:r>
    </w:p>
    <w:p>
      <w:pPr>
        <w:pStyle w:val="Normal"/>
        <w:spacing w:lineRule="auto" w:line="360"/>
        <w:ind w:firstLine="567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41.3. Результаты независимой оценки качества условий оказания услуг муниципальными организациями в сфере охраны здоровья,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Процедура независимой оценки качества условий оказания услуг не может проводиться, так как ГБУЗ "Ногликская ЦРБ" является государственным учреждением, не муниципальным.</w:t>
      </w:r>
    </w:p>
    <w:p>
      <w:pPr>
        <w:pStyle w:val="Normal"/>
        <w:spacing w:lineRule="auto" w:line="360"/>
        <w:ind w:firstLine="567"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 xml:space="preserve">41.4. </w:t>
      </w:r>
      <w:r>
        <w:rPr>
          <w:i/>
          <w:sz w:val="28"/>
          <w:szCs w:val="28"/>
        </w:rPr>
        <w:t>Результаты независимой оценки качества условий оказания услуг муниципальными организациями в сфере социального обслуживания,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</w:t>
      </w:r>
    </w:p>
    <w:p>
      <w:pPr>
        <w:pStyle w:val="Normal"/>
        <w:spacing w:lineRule="auto" w:line="360"/>
        <w:ind w:firstLine="708"/>
        <w:jc w:val="both"/>
        <w:rPr/>
      </w:pPr>
      <w:r>
        <w:rPr>
          <w:sz w:val="28"/>
          <w:szCs w:val="28"/>
        </w:rPr>
        <w:t>В муниципальном образовании отсутствуют муниципальные организации, осуществляющие оказание услуг в сфере социального обслуживания за счет ассигнований бюджета муниципального образования.</w:t>
      </w:r>
    </w:p>
    <w:sectPr>
      <w:headerReference w:type="default" r:id="rId4"/>
      <w:footerReference w:type="default" r:id="rId5"/>
      <w:type w:val="nextPage"/>
      <w:pgSz w:w="11906" w:h="16838"/>
      <w:pgMar w:left="1701" w:right="850" w:header="708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right"/>
      <w:rPr/>
    </w:pPr>
    <w:r>
      <w:rPr/>
    </w:r>
  </w:p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55088738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927" w:hanging="360"/>
      </w:pPr>
      <w:rPr>
        <w:sz w:val="28"/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d75c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3 Знак"/>
    <w:basedOn w:val="DefaultParagraphFont"/>
    <w:link w:val="3"/>
    <w:uiPriority w:val="99"/>
    <w:semiHidden/>
    <w:qFormat/>
    <w:rsid w:val="0021220a"/>
    <w:rPr>
      <w:rFonts w:ascii="Calibri" w:hAnsi="Calibri" w:eastAsia="Times New Roman" w:cs="Times New Roman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2273ca"/>
    <w:rPr>
      <w:rFonts w:cs="Times New Roman"/>
      <w:b/>
      <w:bCs/>
    </w:rPr>
  </w:style>
  <w:style w:type="character" w:styleId="FontStyle21" w:customStyle="1">
    <w:name w:val="Font Style21"/>
    <w:basedOn w:val="DefaultParagraphFont"/>
    <w:uiPriority w:val="99"/>
    <w:qFormat/>
    <w:rsid w:val="0067033b"/>
    <w:rPr>
      <w:rFonts w:ascii="Times New Roman" w:hAnsi="Times New Roman" w:cs="Times New Roman"/>
      <w:sz w:val="26"/>
      <w:szCs w:val="26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04173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31" w:customStyle="1">
    <w:name w:val="Основной текст (3)_"/>
    <w:basedOn w:val="DefaultParagraphFont"/>
    <w:link w:val="32"/>
    <w:uiPriority w:val="99"/>
    <w:qFormat/>
    <w:rsid w:val="009515dd"/>
    <w:rPr>
      <w:sz w:val="25"/>
      <w:szCs w:val="25"/>
      <w:shd w:fill="FFFFFF" w:val="clear"/>
    </w:rPr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9515d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9515d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>
    <w:name w:val="Интернет-ссылка"/>
    <w:basedOn w:val="DefaultParagraphFont"/>
    <w:uiPriority w:val="99"/>
    <w:unhideWhenUsed/>
    <w:rsid w:val="004d3de8"/>
    <w:rPr>
      <w:color w:val="0000FF" w:themeColor="hyperlink"/>
      <w:u w:val="single"/>
    </w:rPr>
  </w:style>
  <w:style w:type="character" w:styleId="Style17" w:customStyle="1">
    <w:name w:val="Основной текст Знак"/>
    <w:basedOn w:val="DefaultParagraphFont"/>
    <w:link w:val="ab"/>
    <w:uiPriority w:val="99"/>
    <w:qFormat/>
    <w:rsid w:val="002223e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8" w:customStyle="1">
    <w:name w:val="Текст выноски Знак"/>
    <w:basedOn w:val="DefaultParagraphFont"/>
    <w:link w:val="ad"/>
    <w:uiPriority w:val="99"/>
    <w:semiHidden/>
    <w:qFormat/>
    <w:rsid w:val="00d012b5"/>
    <w:rPr>
      <w:rFonts w:ascii="Segoe UI" w:hAnsi="Segoe UI" w:eastAsia="Times New Roman" w:cs="Segoe UI"/>
      <w:sz w:val="18"/>
      <w:szCs w:val="18"/>
      <w:lang w:eastAsia="ru-RU"/>
    </w:rPr>
  </w:style>
  <w:style w:type="character" w:styleId="Style19" w:customStyle="1">
    <w:name w:val="Основной текст_"/>
    <w:basedOn w:val="DefaultParagraphFont"/>
    <w:link w:val="1"/>
    <w:qFormat/>
    <w:rsid w:val="00d03a25"/>
    <w:rPr>
      <w:rFonts w:ascii="Times New Roman" w:hAnsi="Times New Roman" w:eastAsia="Times New Roman" w:cs="Times New Roman"/>
      <w:spacing w:val="9"/>
      <w:shd w:fill="FFFFFF" w:val="clear"/>
    </w:rPr>
  </w:style>
  <w:style w:type="character" w:styleId="Blk" w:customStyle="1">
    <w:name w:val="blk"/>
    <w:basedOn w:val="DefaultParagraphFont"/>
    <w:qFormat/>
    <w:rsid w:val="00bb3175"/>
    <w:rPr/>
  </w:style>
  <w:style w:type="character" w:styleId="21" w:customStyle="1">
    <w:name w:val="Обычный (веб) Знак2"/>
    <w:link w:val="a9"/>
    <w:qFormat/>
    <w:locked/>
    <w:rsid w:val="00e972e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">
    <w:name w:val="ListLabel 1"/>
    <w:qFormat/>
    <w:rPr>
      <w:rFonts w:cs="Times New Roman"/>
      <w:sz w:val="28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bCs/>
      <w:sz w:val="28"/>
      <w:szCs w:val="28"/>
    </w:rPr>
  </w:style>
  <w:style w:type="character" w:styleId="ListLabel11">
    <w:name w:val="ListLabel 11"/>
    <w:qFormat/>
    <w:rPr>
      <w:color w:val="auto"/>
      <w:sz w:val="28"/>
      <w:szCs w:val="28"/>
      <w:lang w:val="en-US"/>
    </w:rPr>
  </w:style>
  <w:style w:type="character" w:styleId="ListLabel12">
    <w:name w:val="ListLabel 12"/>
    <w:qFormat/>
    <w:rPr>
      <w:color w:val="auto"/>
      <w:sz w:val="28"/>
      <w:szCs w:val="28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c"/>
    <w:uiPriority w:val="99"/>
    <w:unhideWhenUsed/>
    <w:rsid w:val="002223e4"/>
    <w:pPr>
      <w:spacing w:before="0" w:after="12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нак Знак1 Знак Знак Знак1 Знак Знак Знак Знак Знак Знак Знак"/>
    <w:basedOn w:val="Normal"/>
    <w:uiPriority w:val="99"/>
    <w:qFormat/>
    <w:rsid w:val="00ad75c1"/>
    <w:pPr>
      <w:widowControl w:val="false"/>
      <w:spacing w:lineRule="exact" w:line="240" w:before="0" w:after="160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BodyText3">
    <w:name w:val="Body Text 3"/>
    <w:basedOn w:val="Normal"/>
    <w:link w:val="30"/>
    <w:uiPriority w:val="99"/>
    <w:semiHidden/>
    <w:unhideWhenUsed/>
    <w:qFormat/>
    <w:rsid w:val="0021220a"/>
    <w:pPr>
      <w:spacing w:lineRule="auto" w:line="276" w:before="0" w:after="120"/>
    </w:pPr>
    <w:rPr>
      <w:rFonts w:ascii="Calibri" w:hAnsi="Calibri"/>
      <w:sz w:val="16"/>
      <w:szCs w:val="16"/>
    </w:rPr>
  </w:style>
  <w:style w:type="paragraph" w:styleId="ConsPlusNormal" w:customStyle="1">
    <w:name w:val="ConsPlusNormal"/>
    <w:qFormat/>
    <w:rsid w:val="0005092c"/>
    <w:pPr>
      <w:widowControl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PlusCell" w:customStyle="1">
    <w:name w:val="ConsPlusCell"/>
    <w:qFormat/>
    <w:rsid w:val="0010730b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BodyTextIndent2">
    <w:name w:val="Body Text Indent 2"/>
    <w:basedOn w:val="Normal"/>
    <w:link w:val="20"/>
    <w:uiPriority w:val="99"/>
    <w:qFormat/>
    <w:rsid w:val="00041733"/>
    <w:pPr>
      <w:spacing w:lineRule="auto" w:line="480" w:before="0" w:after="120"/>
      <w:ind w:left="283" w:hanging="0"/>
    </w:pPr>
    <w:rPr/>
  </w:style>
  <w:style w:type="paragraph" w:styleId="32" w:customStyle="1">
    <w:name w:val="Основной текст (3)"/>
    <w:basedOn w:val="Normal"/>
    <w:link w:val="31"/>
    <w:uiPriority w:val="99"/>
    <w:qFormat/>
    <w:rsid w:val="009515dd"/>
    <w:pPr>
      <w:shd w:val="clear" w:color="auto" w:fill="FFFFFF"/>
      <w:spacing w:lineRule="exact" w:line="307" w:before="0" w:after="240"/>
    </w:pPr>
    <w:rPr>
      <w:rFonts w:ascii="Calibri" w:hAnsi="Calibri" w:eastAsia="Calibri" w:cs="" w:asciiTheme="minorHAnsi" w:cstheme="minorBidi" w:eastAsiaTheme="minorHAnsi" w:hAnsiTheme="minorHAnsi"/>
      <w:sz w:val="25"/>
      <w:szCs w:val="25"/>
      <w:lang w:eastAsia="en-US"/>
    </w:rPr>
  </w:style>
  <w:style w:type="paragraph" w:styleId="Style25">
    <w:name w:val="Header"/>
    <w:basedOn w:val="Normal"/>
    <w:link w:val="a6"/>
    <w:uiPriority w:val="99"/>
    <w:unhideWhenUsed/>
    <w:rsid w:val="009515d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8"/>
    <w:uiPriority w:val="99"/>
    <w:unhideWhenUsed/>
    <w:rsid w:val="009515d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link w:val="21"/>
    <w:qFormat/>
    <w:rsid w:val="00056b20"/>
    <w:pPr>
      <w:spacing w:beforeAutospacing="1" w:afterAutospacing="1"/>
    </w:pPr>
    <w:rPr/>
  </w:style>
  <w:style w:type="paragraph" w:styleId="BalloonText">
    <w:name w:val="Balloon Text"/>
    <w:basedOn w:val="Normal"/>
    <w:link w:val="ae"/>
    <w:uiPriority w:val="99"/>
    <w:semiHidden/>
    <w:unhideWhenUsed/>
    <w:qFormat/>
    <w:rsid w:val="00d012b5"/>
    <w:pPr/>
    <w:rPr>
      <w:rFonts w:ascii="Segoe UI" w:hAnsi="Segoe UI" w:cs="Segoe UI"/>
      <w:sz w:val="18"/>
      <w:szCs w:val="18"/>
    </w:rPr>
  </w:style>
  <w:style w:type="paragraph" w:styleId="1" w:customStyle="1">
    <w:name w:val="Основной текст1"/>
    <w:basedOn w:val="Normal"/>
    <w:link w:val="af"/>
    <w:qFormat/>
    <w:rsid w:val="00d03a25"/>
    <w:pPr>
      <w:widowControl w:val="false"/>
      <w:shd w:val="clear" w:color="auto" w:fill="FFFFFF"/>
      <w:spacing w:lineRule="exact" w:line="299"/>
    </w:pPr>
    <w:rPr>
      <w:spacing w:val="9"/>
      <w:sz w:val="22"/>
      <w:szCs w:val="22"/>
      <w:lang w:eastAsia="en-US"/>
    </w:rPr>
  </w:style>
  <w:style w:type="paragraph" w:styleId="NoSpacing">
    <w:name w:val="No Spacing"/>
    <w:uiPriority w:val="1"/>
    <w:qFormat/>
    <w:rsid w:val="00cc07f6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7033b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49034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gliki-adm.ru/" TargetMode="External"/><Relationship Id="rId3" Type="http://schemas.openxmlformats.org/officeDocument/2006/relationships/hyperlink" Target="http://www.nogliki-adm.ru/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4DF26-C77E-4ECD-930E-7FB3C84B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Application>LibreOffice/6.2.0.3$Windows_X86_64 LibreOffice_project/98c6a8a1c6c7b144ce3cc729e34964b47ce25d62</Application>
  <Pages>56</Pages>
  <Words>11598</Words>
  <Characters>77412</Characters>
  <CharactersWithSpaces>88992</CharactersWithSpaces>
  <Paragraphs>567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2019-04-22T05:58:00Z</dcterms:created>
  <dc:creator>kononenko</dc:creator>
  <dc:description/>
  <dc:language>ru-RU</dc:language>
  <cp:lastModifiedBy/>
  <cp:lastPrinted>2019-04-22T04:36:00Z</cp:lastPrinted>
  <dcterms:modified xsi:type="dcterms:W3CDTF">2019-04-26T17:51:19Z</dcterms:modified>
  <cp:revision>183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