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4DA7CE8" w:rsidR="00864CB0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3D3DAE">
        <w:rPr>
          <w:sz w:val="28"/>
          <w:szCs w:val="28"/>
        </w:rPr>
        <w:t>3</w:t>
      </w:r>
    </w:p>
    <w:p w14:paraId="3F8C5EB0" w14:textId="3B0DC06A" w:rsidR="00864CB0" w:rsidRPr="00B622D9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0F03B2EF" w14:textId="23D1047B" w:rsidR="00864CB0" w:rsidRPr="005429DB" w:rsidRDefault="000460A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 малого и среднего предприниматель</w:t>
      </w:r>
      <w:r w:rsidR="002010FF">
        <w:rPr>
          <w:sz w:val="28"/>
          <w:szCs w:val="28"/>
        </w:rPr>
        <w:t>с</w:t>
      </w:r>
      <w:r>
        <w:rPr>
          <w:sz w:val="28"/>
          <w:szCs w:val="28"/>
        </w:rPr>
        <w:t xml:space="preserve">тва, </w:t>
      </w:r>
      <w:r w:rsidR="001732E4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2010FF">
        <w:rPr>
          <w:sz w:val="28"/>
          <w:szCs w:val="28"/>
        </w:rPr>
        <w:t xml:space="preserve"> муниципального образования </w:t>
      </w:r>
      <w:r w:rsidR="001732E4">
        <w:rPr>
          <w:sz w:val="28"/>
          <w:szCs w:val="28"/>
        </w:rPr>
        <w:br/>
      </w:r>
      <w:r w:rsidR="002010FF">
        <w:rPr>
          <w:sz w:val="28"/>
          <w:szCs w:val="28"/>
        </w:rPr>
        <w:t xml:space="preserve">«Городской округ Ногликский» </w:t>
      </w:r>
      <w:r w:rsidR="00AA4D9B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66587F96" w14:textId="77777777" w:rsidR="000749FC" w:rsidRPr="00FD28A5" w:rsidRDefault="000749FC" w:rsidP="000749FC">
      <w:pPr>
        <w:ind w:right="-285"/>
        <w:rPr>
          <w:sz w:val="28"/>
          <w:szCs w:val="28"/>
        </w:rPr>
      </w:pPr>
      <w:r w:rsidRPr="00FD28A5">
        <w:rPr>
          <w:sz w:val="28"/>
          <w:szCs w:val="28"/>
        </w:rPr>
        <w:t>(в редакции от 21.12.2021 № 709)</w:t>
      </w:r>
    </w:p>
    <w:p w14:paraId="54294AC9" w14:textId="77777777" w:rsidR="00864CB0" w:rsidRPr="00725616" w:rsidRDefault="00864CB0" w:rsidP="000454A7">
      <w:pPr>
        <w:ind w:left="-993" w:right="-144"/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0454A7">
      <w:pPr>
        <w:ind w:left="-851"/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95E112E" w14:textId="40B634BE" w:rsidR="00864CB0" w:rsidRPr="000076DF" w:rsidRDefault="000460A0" w:rsidP="003D3DAE">
      <w:pPr>
        <w:ind w:firstLine="561"/>
        <w:jc w:val="center"/>
        <w:rPr>
          <w:sz w:val="28"/>
          <w:szCs w:val="28"/>
        </w:rPr>
      </w:pPr>
      <w:r w:rsidRPr="000076DF">
        <w:rPr>
          <w:sz w:val="28"/>
          <w:szCs w:val="28"/>
        </w:rPr>
        <w:lastRenderedPageBreak/>
        <w:t>ВОЗМЕЩ</w:t>
      </w:r>
      <w:r w:rsidR="00156C3C" w:rsidRPr="000076DF">
        <w:rPr>
          <w:sz w:val="28"/>
          <w:szCs w:val="28"/>
        </w:rPr>
        <w:t>ЕНИЕ ЗАТРАТ</w:t>
      </w:r>
      <w:r w:rsidR="003D3DAE" w:rsidRPr="000076DF">
        <w:rPr>
          <w:sz w:val="28"/>
          <w:szCs w:val="28"/>
        </w:rPr>
        <w:t xml:space="preserve">, СВЯЗАННЫХ С ПРИОБРЕТЕНИЕМ ОБЪЕКТОВ МОБИЛЬНОЙ ТОРГОВЛИ </w:t>
      </w:r>
    </w:p>
    <w:p w14:paraId="25B76988" w14:textId="77777777" w:rsidR="006801F0" w:rsidRPr="000076DF" w:rsidRDefault="006801F0" w:rsidP="003D3DAE">
      <w:pPr>
        <w:ind w:firstLine="561"/>
        <w:jc w:val="center"/>
        <w:rPr>
          <w:sz w:val="28"/>
          <w:szCs w:val="28"/>
        </w:rPr>
      </w:pPr>
    </w:p>
    <w:p w14:paraId="33CD9BFA" w14:textId="5AC5B0C8" w:rsidR="006801F0" w:rsidRPr="000076DF" w:rsidRDefault="006801F0" w:rsidP="006801F0">
      <w:pPr>
        <w:ind w:firstLine="561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1. Для целей настоящего мероприятия под объектом мобильной торговли понимают торговый объек</w:t>
      </w:r>
      <w:bookmarkStart w:id="0" w:name="_GoBack"/>
      <w:bookmarkEnd w:id="0"/>
      <w:r w:rsidRPr="000076DF">
        <w:rPr>
          <w:sz w:val="28"/>
          <w:szCs w:val="28"/>
        </w:rPr>
        <w:t>т, представляющий собой специализированное или специально оборудованное транспортное средство, используемое при осуществлении развозной торговли (автолавки, автомагазины), срок выпуска (изготовления) которого не превышает 2-х лет с момента приобретения (далее – транспортное средство).</w:t>
      </w:r>
    </w:p>
    <w:p w14:paraId="71E584FB" w14:textId="77777777" w:rsidR="006801F0" w:rsidRPr="000076DF" w:rsidRDefault="006801F0" w:rsidP="0068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2. Субсидия предоставляется Заявителю, осуществляющему свою деятельность по коду ОКВЭД 47 «Торговля розничная, кроме торговли автотранспортными средствами и мотоциклами», включая подклассы, группы и подгруппы,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Федерации».</w:t>
      </w:r>
    </w:p>
    <w:p w14:paraId="0D2B961C" w14:textId="6487A0A0" w:rsidR="006801F0" w:rsidRPr="000076DF" w:rsidRDefault="006801F0" w:rsidP="006801F0">
      <w:pPr>
        <w:ind w:firstLine="561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Заявителем в текущем финансовом году и (или) в году, предшествующему текущему, на приобретение объектов мобильной торговли с учетом доставки до региона.  </w:t>
      </w:r>
    </w:p>
    <w:p w14:paraId="5C2A6CA3" w14:textId="0400BB83" w:rsidR="006801F0" w:rsidRPr="000076DF" w:rsidRDefault="006801F0" w:rsidP="006801F0">
      <w:pPr>
        <w:ind w:firstLine="561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4. Размер субсидии составляет 70% от фактически произведенных и документально подтвер</w:t>
      </w:r>
      <w:r w:rsidR="00C34E63" w:rsidRPr="000076DF">
        <w:rPr>
          <w:sz w:val="28"/>
          <w:szCs w:val="28"/>
        </w:rPr>
        <w:t>жденных затрат.</w:t>
      </w:r>
    </w:p>
    <w:p w14:paraId="62969975" w14:textId="77777777" w:rsidR="006801F0" w:rsidRPr="000076DF" w:rsidRDefault="006801F0" w:rsidP="006801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Расчет размера субсидии осуществляется по формуле:</w:t>
      </w:r>
    </w:p>
    <w:p w14:paraId="4689FB17" w14:textId="59FDAAF3" w:rsidR="006801F0" w:rsidRPr="000076DF" w:rsidRDefault="006801F0" w:rsidP="006801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76DF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4CB2E31" wp14:editId="714E901A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0B3E2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756A5" w14:textId="77777777" w:rsidR="006801F0" w:rsidRDefault="006801F0" w:rsidP="006801F0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DCC14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EB604" w14:textId="77777777" w:rsidR="006801F0" w:rsidRDefault="006801F0" w:rsidP="006801F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CB2E3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C30B3E2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3D9756A5" w14:textId="77777777" w:rsidR="006801F0" w:rsidRDefault="006801F0" w:rsidP="006801F0">
                        <w:proofErr w:type="gramStart"/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</w:t>
                        </w:r>
                        <w:proofErr w:type="gramEnd"/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CEDCC14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24EB604" w14:textId="77777777" w:rsidR="006801F0" w:rsidRDefault="006801F0" w:rsidP="006801F0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72762D" w14:textId="77777777" w:rsidR="006801F0" w:rsidRPr="000076DF" w:rsidRDefault="006801F0" w:rsidP="006801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Заявителя;</w:t>
      </w:r>
    </w:p>
    <w:p w14:paraId="602C6780" w14:textId="2378FB90" w:rsidR="006801F0" w:rsidRPr="000076DF" w:rsidRDefault="006801F0" w:rsidP="006801F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076DF">
        <w:rPr>
          <w:noProof/>
          <w:position w:val="-12"/>
          <w:sz w:val="28"/>
          <w:szCs w:val="28"/>
        </w:rPr>
        <w:drawing>
          <wp:inline distT="0" distB="0" distL="0" distR="0" wp14:anchorId="25446703" wp14:editId="39D109FD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6DF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28B7A76" w14:textId="77777777" w:rsidR="006801F0" w:rsidRPr="000076DF" w:rsidRDefault="006801F0" w:rsidP="006801F0">
      <w:pPr>
        <w:ind w:firstLine="561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5.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5BE5B5FD" w14:textId="77777777" w:rsidR="006801F0" w:rsidRPr="000076DF" w:rsidRDefault="006801F0" w:rsidP="006801F0">
      <w:pPr>
        <w:ind w:firstLine="561"/>
        <w:jc w:val="both"/>
        <w:rPr>
          <w:sz w:val="28"/>
          <w:szCs w:val="28"/>
        </w:rPr>
      </w:pPr>
      <w:r w:rsidRPr="000076DF">
        <w:rPr>
          <w:sz w:val="28"/>
          <w:szCs w:val="28"/>
        </w:rPr>
        <w:lastRenderedPageBreak/>
        <w:t>5.1. Заверенные Заявителем копии следующих документов с предъявлением их оригиналов для сличения подлинности копий:</w:t>
      </w:r>
    </w:p>
    <w:p w14:paraId="1683A2CC" w14:textId="77777777" w:rsidR="006801F0" w:rsidRPr="000076DF" w:rsidRDefault="006801F0" w:rsidP="0068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а) документы, подтверждающие фактические затраты по приобретению объекта мобильной торговли:</w:t>
      </w:r>
    </w:p>
    <w:p w14:paraId="53093790" w14:textId="77777777" w:rsidR="006801F0" w:rsidRPr="000076DF" w:rsidRDefault="006801F0" w:rsidP="0068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- договор на приобретение в собственность объекта мобильной торговли;</w:t>
      </w:r>
    </w:p>
    <w:p w14:paraId="23A565C8" w14:textId="77777777" w:rsidR="006801F0" w:rsidRPr="000076DF" w:rsidRDefault="006801F0" w:rsidP="0068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- счет-фактура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ордерам), а также иные документы, подтверждающие факт оплаты расходов;</w:t>
      </w:r>
    </w:p>
    <w:p w14:paraId="460E4A6A" w14:textId="23E6944F" w:rsidR="006801F0" w:rsidRPr="000076DF" w:rsidRDefault="00A06AE5" w:rsidP="0068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б</w:t>
      </w:r>
      <w:r w:rsidR="006801F0" w:rsidRPr="000076DF">
        <w:rPr>
          <w:sz w:val="28"/>
          <w:szCs w:val="28"/>
        </w:rPr>
        <w:t>) ПТС на объект мобильной торговли.</w:t>
      </w:r>
    </w:p>
    <w:p w14:paraId="2D49A83D" w14:textId="7B8704B2" w:rsidR="006801F0" w:rsidRPr="000076DF" w:rsidRDefault="006801F0" w:rsidP="006801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В случае, если Заявитель планирует возместить расходы, связанные с доставкой объекта мобильной торговли, необходимо предоставить копии документов, подтверждающих произведенную поставку объекта мобильной торговли (счет-фактура (за исключением случаев, предусмотренных законодательством, когда счет-фактура может не составляться поставщиком (исполнителем, подрядчиком), товарная накладная, товарно-транспортная накладная, платежные документы, а также иные платежные документы, подтверждающие факт оплаты расходов).</w:t>
      </w:r>
    </w:p>
    <w:p w14:paraId="7DC7FCEE" w14:textId="77777777" w:rsidR="006801F0" w:rsidRPr="000076DF" w:rsidRDefault="006801F0" w:rsidP="006801F0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6. Получатель субсидии обязан:</w:t>
      </w:r>
    </w:p>
    <w:p w14:paraId="7C3F2F51" w14:textId="77777777" w:rsidR="006801F0" w:rsidRPr="000076DF" w:rsidRDefault="006801F0" w:rsidP="006801F0">
      <w:pPr>
        <w:widowControl w:val="0"/>
        <w:numPr>
          <w:ilvl w:val="0"/>
          <w:numId w:val="1"/>
        </w:numPr>
        <w:tabs>
          <w:tab w:val="left" w:pos="1041"/>
        </w:tabs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в течение 3 лет, начиная с года предоставления субсидии, осуществлять деятельность в сфере розничной торговли, не производить продажу, дарение, передачу в аренду, пользование другим лицам объектов мобильной торговли, приобретенных за счет средств предоставленной субсидии; </w:t>
      </w:r>
    </w:p>
    <w:p w14:paraId="1F07362E" w14:textId="4FE0492F" w:rsidR="006801F0" w:rsidRPr="000076DF" w:rsidRDefault="006801F0" w:rsidP="006801F0">
      <w:pPr>
        <w:widowControl w:val="0"/>
        <w:numPr>
          <w:ilvl w:val="0"/>
          <w:numId w:val="1"/>
        </w:numPr>
        <w:tabs>
          <w:tab w:val="left" w:pos="1041"/>
        </w:tabs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ежегодно, начиная с года получения субсидии, </w:t>
      </w:r>
      <w:r w:rsidR="001C7F89" w:rsidRPr="000076DF">
        <w:rPr>
          <w:sz w:val="28"/>
          <w:szCs w:val="28"/>
        </w:rPr>
        <w:t xml:space="preserve">в течение 3 лет </w:t>
      </w:r>
      <w:r w:rsidRPr="000076DF">
        <w:rPr>
          <w:sz w:val="28"/>
          <w:szCs w:val="28"/>
        </w:rPr>
        <w:t>предоставлять в Уполномоченный орган график запланированных выездов в сельские населенные пункты, расположенные на территории муниципального образования «Городской округ Ногликский», где не достигнуты нормативы минимальной обеспеченности площадью торговых объектов или отсутствуют объекты розничной торговли (далее – график выездов).</w:t>
      </w:r>
    </w:p>
    <w:p w14:paraId="72B65102" w14:textId="77777777" w:rsidR="006801F0" w:rsidRPr="000076DF" w:rsidRDefault="006801F0" w:rsidP="006801F0">
      <w:pPr>
        <w:widowControl w:val="0"/>
        <w:numPr>
          <w:ilvl w:val="0"/>
          <w:numId w:val="1"/>
        </w:numPr>
        <w:tabs>
          <w:tab w:val="left" w:pos="1041"/>
        </w:tabs>
        <w:ind w:firstLine="567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осуществлять реализацию товаров первой необходимости в сельских населенных пунктах муниципального образования «Городской округ Ногликский», где не достигнуты нормативы минимальной обеспеченности площадью торговых объектов или отсутствуют объекты розничной торговли в течение 3 лет, начиная с года получения субсидии, либо до момента достижения норматива минимальной обеспеченности площадью торговых объектов, согласно графику выездов.     </w:t>
      </w:r>
    </w:p>
    <w:p w14:paraId="2912415B" w14:textId="77777777" w:rsidR="003D3DAE" w:rsidRPr="000076DF" w:rsidRDefault="003D3DAE" w:rsidP="003D3DAE">
      <w:pPr>
        <w:ind w:firstLine="561"/>
        <w:jc w:val="center"/>
        <w:rPr>
          <w:sz w:val="28"/>
          <w:szCs w:val="28"/>
        </w:rPr>
      </w:pPr>
    </w:p>
    <w:sectPr w:rsidR="003D3DAE" w:rsidRPr="000076DF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076D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011AD"/>
    <w:multiLevelType w:val="multilevel"/>
    <w:tmpl w:val="B9BC0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6DF"/>
    <w:rsid w:val="00014168"/>
    <w:rsid w:val="00027E97"/>
    <w:rsid w:val="000454A7"/>
    <w:rsid w:val="000460A0"/>
    <w:rsid w:val="000749FC"/>
    <w:rsid w:val="00091B8A"/>
    <w:rsid w:val="000D175D"/>
    <w:rsid w:val="001067F4"/>
    <w:rsid w:val="00115A57"/>
    <w:rsid w:val="001348EB"/>
    <w:rsid w:val="00134EA8"/>
    <w:rsid w:val="001408BD"/>
    <w:rsid w:val="00156C3C"/>
    <w:rsid w:val="001673C6"/>
    <w:rsid w:val="001732E4"/>
    <w:rsid w:val="00184800"/>
    <w:rsid w:val="001C0012"/>
    <w:rsid w:val="001C7F89"/>
    <w:rsid w:val="001F2F6D"/>
    <w:rsid w:val="002010FF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3DAE"/>
    <w:rsid w:val="003E33E2"/>
    <w:rsid w:val="003E62A0"/>
    <w:rsid w:val="003E74EC"/>
    <w:rsid w:val="00416224"/>
    <w:rsid w:val="00487309"/>
    <w:rsid w:val="00494C94"/>
    <w:rsid w:val="005D62D2"/>
    <w:rsid w:val="00651800"/>
    <w:rsid w:val="006801F0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168"/>
    <w:rsid w:val="00974CA6"/>
    <w:rsid w:val="009C6A25"/>
    <w:rsid w:val="009C6BB8"/>
    <w:rsid w:val="00A0116A"/>
    <w:rsid w:val="00A06AE5"/>
    <w:rsid w:val="00A55B69"/>
    <w:rsid w:val="00AA4D9B"/>
    <w:rsid w:val="00AC6445"/>
    <w:rsid w:val="00AE276F"/>
    <w:rsid w:val="00AF3037"/>
    <w:rsid w:val="00B20901"/>
    <w:rsid w:val="00B234E8"/>
    <w:rsid w:val="00B971B4"/>
    <w:rsid w:val="00C2376A"/>
    <w:rsid w:val="00C34E63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E6EB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E6EB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492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17</cp:revision>
  <cp:lastPrinted>2022-01-25T00:09:00Z</cp:lastPrinted>
  <dcterms:created xsi:type="dcterms:W3CDTF">2020-04-07T04:55:00Z</dcterms:created>
  <dcterms:modified xsi:type="dcterms:W3CDTF">2023-03-13T04:41:00Z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