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8B" w:rsidRDefault="00A0228B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28B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 субъектов малого и среднего предпринимательства</w:t>
      </w:r>
      <w:r w:rsidR="0076592E"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 w:rsidR="00C328C5">
        <w:rPr>
          <w:rFonts w:ascii="Times New Roman" w:hAnsi="Times New Roman" w:cs="Times New Roman"/>
          <w:b/>
          <w:sz w:val="28"/>
          <w:szCs w:val="28"/>
        </w:rPr>
        <w:t>01</w:t>
      </w:r>
      <w:r w:rsidR="0076592E">
        <w:rPr>
          <w:rFonts w:ascii="Times New Roman" w:hAnsi="Times New Roman" w:cs="Times New Roman"/>
          <w:b/>
          <w:sz w:val="28"/>
          <w:szCs w:val="28"/>
        </w:rPr>
        <w:t>.202</w:t>
      </w:r>
      <w:r w:rsidR="00C328C5">
        <w:rPr>
          <w:rFonts w:ascii="Times New Roman" w:hAnsi="Times New Roman" w:cs="Times New Roman"/>
          <w:b/>
          <w:sz w:val="28"/>
          <w:szCs w:val="28"/>
        </w:rPr>
        <w:t>4</w:t>
      </w:r>
      <w:r w:rsidR="00EA7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28C5" w:rsidRP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частью современной системы хозяйствования и играет значимую роль в решении социально-экономических задач территории.</w:t>
      </w:r>
    </w:p>
    <w:p w:rsidR="00C328C5" w:rsidRP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по состоянию на 1 января 2024 года составляет 336 субъектов: 80 юридических лиц и 256 индивидуальных предпринимателей. Это на 6 субъектов больше сопоставимого периода прошлого года. </w:t>
      </w:r>
    </w:p>
    <w:p w:rsid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C5">
        <w:rPr>
          <w:rFonts w:ascii="Times New Roman" w:hAnsi="Times New Roman" w:cs="Times New Roman"/>
          <w:sz w:val="28"/>
          <w:szCs w:val="28"/>
        </w:rPr>
        <w:t xml:space="preserve">Отраслевая структура малого бизнеса остается неизменной в течение ряда лет. Наиболее распространенными видами деятельности остаются розничная и оптовая торговля (41%), оказание транспортных услуг (17%), строительные работы (9%), обрабатывающее производство и услуги общественного питания – по 4%. </w:t>
      </w:r>
    </w:p>
    <w:p w:rsidR="00F81C6D" w:rsidRPr="00C328C5" w:rsidRDefault="00F81C6D" w:rsidP="00F81C6D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C5">
        <w:rPr>
          <w:rFonts w:ascii="Times New Roman" w:hAnsi="Times New Roman" w:cs="Times New Roman"/>
          <w:b/>
          <w:sz w:val="28"/>
          <w:szCs w:val="28"/>
        </w:rPr>
        <w:t>Структура предпринимательства по видам экономической деятельности</w:t>
      </w:r>
    </w:p>
    <w:p w:rsidR="00F81C6D" w:rsidRDefault="00F81C6D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6D" w:rsidRDefault="00F81C6D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A0C691A" wp14:editId="5928E88E">
            <wp:extent cx="5940425" cy="3109595"/>
            <wp:effectExtent l="0" t="0" r="3175" b="1460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Достаточно успешно развивается такая форма предпринимательства как «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>». По состоянию на 01.01.2024 зарегистрирован 421 гражданин, применяющий специальный налоговый режим «Налог на профессиональный доход» (иными словами – «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»). Часто такая форма предпринимательства носит вторичный характер при наличии основного места работы. 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По оценке, на долю малого бизнеса приходится 15% занятого населения.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Поддержка малого предпринимательства является приоритетным направлением муниципальной экономической политики.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принята и реализуется подпрограмма «Развитие малого и среднего предпринимательства в </w:t>
      </w:r>
      <w:r w:rsidRPr="00F81C6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«Городской округ Ногликский», рассчитанная до 2027 года. 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На реализацию данной подпрограммы в 2023 году было предусмотрено 4,8 млн. рублей (3,8 млн. рублей – средства областного бюджета, 1,0 млн. рублей – средства местного бюджета).</w:t>
      </w:r>
    </w:p>
    <w:p w:rsidR="00F81C6D" w:rsidRPr="00F81C6D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В рамках программы предпринимателям оказывается финансовая, имущественная, консультационная и организационная поддержки.</w:t>
      </w:r>
    </w:p>
    <w:p w:rsidR="00F81C6D" w:rsidRPr="00C328C5" w:rsidRDefault="00F81C6D" w:rsidP="00F81C6D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6D">
        <w:rPr>
          <w:rFonts w:ascii="Times New Roman" w:hAnsi="Times New Roman" w:cs="Times New Roman"/>
          <w:sz w:val="28"/>
          <w:szCs w:val="28"/>
        </w:rPr>
        <w:t>В 2023 году финансовая поддержка была оказана 6-ти субъектам предпринимательства на сумму в 4,4 млн. рублей за счет средств местного и областного бюджетов.</w:t>
      </w:r>
    </w:p>
    <w:p w:rsidR="00C328C5" w:rsidRPr="00C328C5" w:rsidRDefault="00C328C5" w:rsidP="00C328C5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C94" w:rsidRDefault="00F81C6D" w:rsidP="00C328C5">
      <w:pPr>
        <w:spacing w:after="0" w:line="240" w:lineRule="auto"/>
        <w:ind w:right="424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466.5pt;height:340.45pt;mso-position-horizontal-relative:char;mso-position-vertical-relative:line" coordorigin="1621,931" coordsize="7200,2880">
            <o:lock v:ext="edit" aspectratio="t"/>
            <o:diagram v:ext="edit" dgmstyle="7" dgmscalex="84938" dgmscaley="154871" dgmfontsize="15" constrainbounds="0,0,0,0" autolayout="f">
              <o:relationtable v:ext="edit">
                <o:rel v:ext="edit" idsrc="#_s1031" iddest="#_s1031"/>
                <o:rel v:ext="edit" idsrc="#_s1033" iddest="#_s1031" idcntr="#_s1029"/>
                <o:rel v:ext="edit" idsrc="#_s1034" iddest="#_s1031" idcntr="#_s1028"/>
                <o:rel v:ext="edit" idsrc="#_s1032" iddest="#_s1031" idcntr="#_s103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21;top:931;width:7200;height:288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5315;top:1549;width:458;height:716;rotation:180" o:connectortype="elbow" adj="-258144,-108268,-258144" strokecolor="#cc9" strokeweight="2.25pt"/>
            <v:shape id="_s1029" o:spid="_x0000_s1029" type="#_x0000_t33" style="position:absolute;left:4594;top:1549;width:721;height:716;flip:y" o:connectortype="elbow" adj="-128582,108268,-128582" strokecolor="#cc9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0" o:spid="_x0000_s1030" type="#_x0000_t34" style="position:absolute;left:4571;top:2204;width:1407;height:98;rotation:270" o:connectortype="elbow" adj="1368,-1603672,-48475" strokecolor="#cc9" strokeweight="2.25pt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s1031" o:spid="_x0000_s1031" type="#_x0000_t16" style="position:absolute;left:2383;top:931;width:5986;height:618;v-text-anchor:middle" o:dgmlayout="0" o:dgmnodekind="1" adj="2325" fillcolor="#97cdcc" strokecolor="#d8d8d8">
              <v:fill opacity="26214f" recolor="t" focus="50%" type="gradient"/>
              <v:textbox style="mso-next-textbox:#_s1031" inset="0,0,0,0">
                <w:txbxContent>
                  <w:p w:rsidR="00F81C6D" w:rsidRPr="00F8185C" w:rsidRDefault="00F81C6D" w:rsidP="00F81C6D">
                    <w:pPr>
                      <w:jc w:val="center"/>
                      <w:rPr>
                        <w:b/>
                        <w:i/>
                        <w:color w:val="0000FF"/>
                        <w:sz w:val="34"/>
                        <w:szCs w:val="32"/>
                      </w:rPr>
                    </w:pPr>
                    <w:r w:rsidRPr="00F8185C">
                      <w:rPr>
                        <w:b/>
                        <w:sz w:val="34"/>
                        <w:szCs w:val="32"/>
                      </w:rPr>
                      <w:t xml:space="preserve">Получатели субсидий </w:t>
                    </w:r>
                    <w:r>
                      <w:rPr>
                        <w:b/>
                        <w:sz w:val="34"/>
                        <w:szCs w:val="32"/>
                      </w:rPr>
                      <w:t>в 2023</w:t>
                    </w:r>
                    <w:r w:rsidRPr="00F8185C">
                      <w:rPr>
                        <w:b/>
                        <w:sz w:val="34"/>
                        <w:szCs w:val="32"/>
                      </w:rPr>
                      <w:t xml:space="preserve"> году по видам экономической деятельности </w:t>
                    </w:r>
                  </w:p>
                  <w:p w:rsidR="00F81C6D" w:rsidRPr="00F81C6D" w:rsidRDefault="00F81C6D" w:rsidP="00F81C6D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s1032" o:spid="_x0000_s1032" type="#_x0000_t16" style="position:absolute;left:3747;top:2873;width:3125;height:798;v-text-anchor:middle" o:dgmlayout="0" o:dgmnodekind="0" adj="2325" fillcolor="#e9eacc" strokecolor="#d6e0e0">
              <v:fill opacity="26214f" color2="#c5e0b3" recolor="t" focus="100%" type="gradient"/>
              <v:textbox style="mso-next-textbox:#_s1032" inset="0,0,0,0">
                <w:txbxContent>
                  <w:p w:rsidR="00F81C6D" w:rsidRPr="000F4A27" w:rsidRDefault="00F81C6D" w:rsidP="003A2DE7">
                    <w:pPr>
                      <w:jc w:val="center"/>
                      <w:rPr>
                        <w:b/>
                        <w:color w:val="2F5496"/>
                        <w:sz w:val="30"/>
                        <w:szCs w:val="26"/>
                        <w:u w:val="single"/>
                      </w:rPr>
                    </w:pPr>
                    <w:proofErr w:type="spellStart"/>
                    <w:r w:rsidRPr="000F4A27">
                      <w:rPr>
                        <w:b/>
                        <w:color w:val="2F5496"/>
                        <w:sz w:val="30"/>
                        <w:szCs w:val="26"/>
                        <w:u w:val="single"/>
                      </w:rPr>
                      <w:t>Самозанятые</w:t>
                    </w:r>
                    <w:proofErr w:type="spellEnd"/>
                  </w:p>
                  <w:p w:rsidR="00F81C6D" w:rsidRPr="00F8185C" w:rsidRDefault="00F81C6D" w:rsidP="00F81C6D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 xml:space="preserve">  </w:t>
                    </w:r>
                    <w:r>
                      <w:rPr>
                        <w:b/>
                        <w:i/>
                        <w:sz w:val="26"/>
                      </w:rPr>
                      <w:t>1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субъект</w:t>
                    </w:r>
                  </w:p>
                  <w:p w:rsidR="00F81C6D" w:rsidRPr="00D378E9" w:rsidRDefault="00F81C6D" w:rsidP="003A2DE7">
                    <w:pPr>
                      <w:rPr>
                        <w:b/>
                        <w:i/>
                        <w:sz w:val="28"/>
                      </w:rPr>
                    </w:pPr>
                    <w:r w:rsidRPr="00F8185C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  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сумма </w:t>
                    </w:r>
                    <w:r>
                      <w:rPr>
                        <w:b/>
                        <w:i/>
                        <w:sz w:val="28"/>
                      </w:rPr>
                      <w:t xml:space="preserve">– </w:t>
                    </w:r>
                    <w:r>
                      <w:rPr>
                        <w:b/>
                        <w:i/>
                        <w:sz w:val="28"/>
                      </w:rPr>
                      <w:t>50,0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тыс</w:t>
                    </w:r>
                    <w:r w:rsidRPr="00F8185C">
                      <w:rPr>
                        <w:b/>
                        <w:i/>
                        <w:sz w:val="28"/>
                      </w:rPr>
                      <w:t>.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Pr="00F8185C">
                      <w:rPr>
                        <w:b/>
                        <w:i/>
                        <w:sz w:val="28"/>
                      </w:rPr>
                      <w:t>руб.</w:t>
                    </w:r>
                  </w:p>
                </w:txbxContent>
              </v:textbox>
            </v:shape>
            <v:shape id="_s1033" o:spid="_x0000_s1033" type="#_x0000_t16" style="position:absolute;left:2017;top:1715;width:2773;height:994;v-text-anchor:middle" o:dgmlayout="0" o:dgmnodekind="2" adj="2325" fillcolor="#e9eacc" strokecolor="#d8d8d8">
              <v:fill opacity="26214f" color2="#c5e0b3" recolor="t" focus="100%" type="gradient"/>
              <v:textbox style="mso-next-textbox:#_s1033" inset="0,0,0,0">
                <w:txbxContent>
                  <w:p w:rsidR="00F81C6D" w:rsidRPr="00F8185C" w:rsidRDefault="00F81C6D" w:rsidP="003A2DE7">
                    <w:pPr>
                      <w:jc w:val="center"/>
                      <w:rPr>
                        <w:b/>
                        <w:color w:val="2F5496"/>
                        <w:sz w:val="30"/>
                      </w:rPr>
                    </w:pPr>
                    <w:r>
                      <w:rPr>
                        <w:b/>
                        <w:color w:val="2F5496"/>
                        <w:sz w:val="30"/>
                        <w:u w:val="thick"/>
                      </w:rPr>
                      <w:t>Торговля</w:t>
                    </w:r>
                  </w:p>
                  <w:p w:rsidR="00F81C6D" w:rsidRDefault="00F81C6D" w:rsidP="00F81C6D">
                    <w:pPr>
                      <w:rPr>
                        <w:b/>
                        <w:i/>
                        <w:sz w:val="28"/>
                      </w:rPr>
                    </w:pPr>
                    <w:r w:rsidRPr="00F8185C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   4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субъект</w:t>
                    </w:r>
                    <w:r>
                      <w:rPr>
                        <w:b/>
                        <w:i/>
                        <w:sz w:val="28"/>
                      </w:rPr>
                      <w:t>а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</w:p>
                  <w:p w:rsidR="00F81C6D" w:rsidRPr="00F8185C" w:rsidRDefault="00F81C6D" w:rsidP="00F81C6D">
                    <w:pPr>
                      <w:rPr>
                        <w:sz w:val="30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сумма </w:t>
                    </w:r>
                    <w:r>
                      <w:rPr>
                        <w:b/>
                        <w:i/>
                        <w:sz w:val="28"/>
                      </w:rPr>
                      <w:t>– 3 566,6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тыс</w:t>
                    </w:r>
                    <w:r w:rsidRPr="00F8185C">
                      <w:rPr>
                        <w:b/>
                        <w:i/>
                        <w:sz w:val="28"/>
                      </w:rPr>
                      <w:t>.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Pr="00F8185C">
                      <w:rPr>
                        <w:b/>
                        <w:i/>
                        <w:sz w:val="28"/>
                      </w:rPr>
                      <w:t>руб.</w:t>
                    </w:r>
                  </w:p>
                </w:txbxContent>
              </v:textbox>
            </v:shape>
            <v:shape id="_s1034" o:spid="_x0000_s1034" type="#_x0000_t16" style="position:absolute;left:5773;top:1715;width:2917;height:994;v-text-anchor:middle" o:dgmlayout="0" o:dgmnodekind="2" adj="2325" fillcolor="#e9eacc" strokecolor="#d8d8d8">
              <v:fill opacity="26214f" color2="#c5e0b3" recolor="t" focus="100%" type="gradient"/>
              <v:textbox style="mso-next-textbox:#_s1034" inset="0,0,0,0">
                <w:txbxContent>
                  <w:p w:rsidR="00F81C6D" w:rsidRPr="00F8185C" w:rsidRDefault="00F81C6D" w:rsidP="003A2DE7">
                    <w:pPr>
                      <w:jc w:val="center"/>
                      <w:rPr>
                        <w:b/>
                        <w:color w:val="2F5496"/>
                        <w:sz w:val="30"/>
                        <w:u w:val="single"/>
                      </w:rPr>
                    </w:pPr>
                    <w:r>
                      <w:rPr>
                        <w:b/>
                        <w:color w:val="2F5496"/>
                        <w:sz w:val="30"/>
                        <w:u w:val="single"/>
                      </w:rPr>
                      <w:t>Обрабатывающее производство</w:t>
                    </w:r>
                  </w:p>
                  <w:p w:rsidR="00F81C6D" w:rsidRDefault="00F81C6D" w:rsidP="003A2DE7">
                    <w:pPr>
                      <w:rPr>
                        <w:b/>
                        <w:i/>
                        <w:sz w:val="28"/>
                      </w:rPr>
                    </w:pPr>
                    <w:r w:rsidRPr="00F8185C">
                      <w:rPr>
                        <w:b/>
                        <w:i/>
                        <w:sz w:val="28"/>
                      </w:rPr>
                      <w:t xml:space="preserve">  </w:t>
                    </w:r>
                    <w:r>
                      <w:rPr>
                        <w:b/>
                        <w:i/>
                        <w:sz w:val="28"/>
                      </w:rPr>
                      <w:t xml:space="preserve">  1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субъект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 </w:t>
                    </w:r>
                  </w:p>
                  <w:p w:rsidR="00F81C6D" w:rsidRPr="00F8185C" w:rsidRDefault="00F81C6D" w:rsidP="003A2DE7">
                    <w:pPr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 xml:space="preserve">  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сумма </w:t>
                    </w:r>
                    <w:r>
                      <w:rPr>
                        <w:b/>
                        <w:i/>
                        <w:sz w:val="28"/>
                      </w:rPr>
                      <w:t>– 795,0</w:t>
                    </w:r>
                    <w:r w:rsidRPr="00F8185C">
                      <w:rPr>
                        <w:b/>
                        <w:i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тыс</w:t>
                    </w:r>
                    <w:r w:rsidRPr="00F8185C">
                      <w:rPr>
                        <w:b/>
                        <w:i/>
                        <w:sz w:val="28"/>
                      </w:rPr>
                      <w:t>.</w:t>
                    </w:r>
                    <w:r>
                      <w:rPr>
                        <w:b/>
                        <w:i/>
                        <w:sz w:val="28"/>
                      </w:rPr>
                      <w:t xml:space="preserve"> </w:t>
                    </w:r>
                    <w:r w:rsidRPr="00F8185C">
                      <w:rPr>
                        <w:b/>
                        <w:i/>
                        <w:sz w:val="28"/>
                      </w:rPr>
                      <w:t>руб.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1C6D" w:rsidRDefault="00F81C6D" w:rsidP="00C328C5">
      <w:pPr>
        <w:spacing w:after="0" w:line="240" w:lineRule="auto"/>
        <w:ind w:right="424"/>
        <w:jc w:val="both"/>
        <w:rPr>
          <w:sz w:val="28"/>
          <w:szCs w:val="28"/>
        </w:rPr>
      </w:pPr>
    </w:p>
    <w:p w:rsidR="00F81C6D" w:rsidRPr="00F81C6D" w:rsidRDefault="00F81C6D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1C6D">
        <w:rPr>
          <w:rFonts w:ascii="Times New Roman" w:hAnsi="Times New Roman" w:cs="Times New Roman"/>
          <w:sz w:val="28"/>
          <w:szCs w:val="28"/>
        </w:rPr>
        <w:t>В рамках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предпринимательства. Данный Перечень состоит из 56 объектов. Поддержка оказана 12 субъектам предпринимательства. В аренду передано 18 объектов муниципального имущества, в безвозмездное пользование – 3 объекта.</w:t>
      </w:r>
    </w:p>
    <w:p w:rsidR="00F81C6D" w:rsidRDefault="00F81C6D" w:rsidP="00F81C6D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1C6D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освещению мероприятий программы на официальном сайте муниципального образования, социальных сетях, в группе </w:t>
      </w:r>
      <w:proofErr w:type="spellStart"/>
      <w:r w:rsidRPr="00F81C6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F81C6D">
        <w:rPr>
          <w:rFonts w:ascii="Times New Roman" w:hAnsi="Times New Roman" w:cs="Times New Roman"/>
          <w:sz w:val="28"/>
          <w:szCs w:val="28"/>
        </w:rPr>
        <w:t xml:space="preserve"> «Бизнес. Ноглики».</w:t>
      </w:r>
      <w:bookmarkStart w:id="0" w:name="_GoBack"/>
      <w:bookmarkEnd w:id="0"/>
    </w:p>
    <w:sectPr w:rsidR="00F81C6D" w:rsidSect="00F81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4608A"/>
    <w:rsid w:val="00067876"/>
    <w:rsid w:val="000E2D20"/>
    <w:rsid w:val="000E62CE"/>
    <w:rsid w:val="00171C97"/>
    <w:rsid w:val="001C2D1F"/>
    <w:rsid w:val="001E45F8"/>
    <w:rsid w:val="0029514E"/>
    <w:rsid w:val="003600C8"/>
    <w:rsid w:val="004465DA"/>
    <w:rsid w:val="004572A8"/>
    <w:rsid w:val="0046282E"/>
    <w:rsid w:val="00534092"/>
    <w:rsid w:val="0076592E"/>
    <w:rsid w:val="007879FB"/>
    <w:rsid w:val="0079054A"/>
    <w:rsid w:val="007D5546"/>
    <w:rsid w:val="007F1471"/>
    <w:rsid w:val="009B3A1E"/>
    <w:rsid w:val="00A0228B"/>
    <w:rsid w:val="00A218DF"/>
    <w:rsid w:val="00A6152E"/>
    <w:rsid w:val="00A75201"/>
    <w:rsid w:val="00B43C94"/>
    <w:rsid w:val="00B8410B"/>
    <w:rsid w:val="00C17CED"/>
    <w:rsid w:val="00C237A9"/>
    <w:rsid w:val="00C328C5"/>
    <w:rsid w:val="00E2725B"/>
    <w:rsid w:val="00E46DDE"/>
    <w:rsid w:val="00EA758B"/>
    <w:rsid w:val="00F81C6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s1030"/>
        <o:r id="V:Rule2" type="connector" idref="#_s1029">
          <o:proxy start="" idref="#_s1033" connectloc="4"/>
          <o:proxy end="" idref="#_s1031" connectloc="3"/>
        </o:r>
        <o:r id="V:Rule3" type="connector" idref="#_s1028">
          <o:proxy start="" idref="#_s1034" connectloc="2"/>
          <o:proxy end="" idref="#_s1031" connectloc="3"/>
        </o:r>
      </o:rules>
    </o:shapelayout>
  </w:shapeDefaults>
  <w:decimalSymbol w:val=","/>
  <w:listSeparator w:val=";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680272108843537"/>
          <c:y val="0.22894736842105262"/>
          <c:w val="0.6462585034013606"/>
          <c:h val="0.4947368421052631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2509381773107697"/>
                  <c:y val="-0.2569438334378243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торговля 41%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770179614412995E-2"/>
                  <c:y val="0.11649121390190598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 17%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306137907258244E-2"/>
                  <c:y val="-2.8000453384622426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строительство 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3056424514529152E-2"/>
                  <c:y val="8.8598439365117354E-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парикмахерских, салонов красоты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0319460786481272E-2"/>
                  <c:y val="-8.5287959450412787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рыболовство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214321484023473E-2"/>
                  <c:y val="-0.13651528579170519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прочие 14%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3726428012414083E-2"/>
                  <c:y val="-0.138447171836314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обрабатывающее производство  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0929517798769843E-2"/>
                  <c:y val="-6.3153849695913505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услуги общественного питания 4%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9227409037916282"/>
                  <c:y val="-4.2159272601046349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ремонт комп., быт.приборов 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60680272108843536"/>
                  <c:y val="7.6315789473684212E-2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Calibri Light"/>
                        <a:ea typeface="Calibri Light"/>
                        <a:cs typeface="Calibri Light"/>
                      </a:defRPr>
                    </a:pPr>
                    <a:r>
                      <a:rPr lang="ru-RU"/>
                      <a:t>операции с недв. имуществом 3%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41</c:v>
                </c:pt>
                <c:pt idx="1">
                  <c:v>17</c:v>
                </c:pt>
                <c:pt idx="2">
                  <c:v>9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Sheet1!$B$8:$J$8</c:f>
              <c:numCache>
                <c:formatCode>General</c:formatCode>
                <c:ptCount val="9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Sheet1!$B$9:$J$9</c:f>
              <c:numCache>
                <c:formatCode>General</c:formatCode>
                <c:ptCount val="9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Sheet1!$B$10:$J$10</c:f>
              <c:numCache>
                <c:formatCode>General</c:formatCode>
                <c:ptCount val="9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Sheet1!$B$11:$J$11</c:f>
              <c:numCache>
                <c:formatCode>General</c:formatCode>
                <c:ptCount val="9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Sheet1!$B$12:$J$12</c:f>
              <c:numCache>
                <c:formatCode>General</c:formatCode>
                <c:ptCount val="9"/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Sheet1!$B$13:$J$13</c:f>
              <c:numCache>
                <c:formatCode>General</c:formatCode>
                <c:ptCount val="9"/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Sheet1!$B$14:$J$14</c:f>
              <c:numCache>
                <c:formatCode>General</c:formatCode>
                <c:ptCount val="9"/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</c:strCache>
            </c:strRef>
          </c:tx>
          <c:spPr>
            <a:solidFill>
              <a:srgbClr val="80000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Sheet1!$B$15:$J$15</c:f>
              <c:numCache>
                <c:formatCode>General</c:formatCode>
                <c:ptCount val="9"/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Sheet1!$B$16:$J$16</c:f>
              <c:numCache>
                <c:formatCode>General</c:formatCode>
                <c:ptCount val="9"/>
              </c:numCache>
            </c:numRef>
          </c:val>
        </c:ser>
        <c:ser>
          <c:idx val="15"/>
          <c:order val="15"/>
          <c:tx>
            <c:strRef>
              <c:f>Sheet1!$A$17</c:f>
              <c:strCache>
                <c:ptCount val="1"/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9"/>
                <c:pt idx="0">
                  <c:v>торговля</c:v>
                </c:pt>
                <c:pt idx="1">
                  <c:v>транспорт</c:v>
                </c:pt>
                <c:pt idx="2">
                  <c:v>строительство</c:v>
                </c:pt>
                <c:pt idx="3">
                  <c:v>предоставление персональных услуг</c:v>
                </c:pt>
                <c:pt idx="4">
                  <c:v>рыболовство</c:v>
                </c:pt>
                <c:pt idx="5">
                  <c:v>обрабатывающее производство - 4</c:v>
                </c:pt>
                <c:pt idx="6">
                  <c:v>услуги общественного питания</c:v>
                </c:pt>
                <c:pt idx="7">
                  <c:v>операции с недв.имуществом</c:v>
                </c:pt>
                <c:pt idx="8">
                  <c:v>ремонт комп., быт.приборов</c:v>
                </c:pt>
              </c:strCache>
            </c:strRef>
          </c:cat>
          <c:val>
            <c:numRef>
              <c:f>Sheet1!$B$17:$J$17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 rotWithShape="0">
          <a:gsLst>
            <a:gs pos="0">
              <a:srgbClr val="D1C39F"/>
            </a:gs>
            <a:gs pos="35001">
              <a:srgbClr val="F0EBD5"/>
            </a:gs>
            <a:gs pos="100000">
              <a:srgbClr val="FFEFD1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gradFill rotWithShape="0">
      <a:gsLst>
        <a:gs pos="0">
          <a:srgbClr val="FFEFD1"/>
        </a:gs>
        <a:gs pos="64999">
          <a:srgbClr val="F0EBD5"/>
        </a:gs>
        <a:gs pos="100000">
          <a:srgbClr val="D1C39F"/>
        </a:gs>
      </a:gsLst>
      <a:path path="rect">
        <a:fillToRect l="50000" t="50000" r="50000" b="50000"/>
      </a:path>
    </a:gradFill>
    <a:ln w="3175">
      <a:solidFill>
        <a:srgbClr val="000000"/>
      </a:solidFill>
      <a:prstDash val="solid"/>
    </a:ln>
  </c:spPr>
  <c:txPr>
    <a:bodyPr/>
    <a:lstStyle/>
    <a:p>
      <a:pPr>
        <a:defRPr sz="13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4</cp:revision>
  <dcterms:created xsi:type="dcterms:W3CDTF">2024-02-19T01:25:00Z</dcterms:created>
  <dcterms:modified xsi:type="dcterms:W3CDTF">2024-02-19T03:14:00Z</dcterms:modified>
</cp:coreProperties>
</file>