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:rsidTr="00987DB5">
        <w:tc>
          <w:tcPr>
            <w:tcW w:w="9498" w:type="dxa"/>
          </w:tcPr>
          <w:p w:rsidR="00053BD0" w:rsidRPr="00053BD0" w:rsidRDefault="00F73015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2pt;height:51.25pt;visibility:visible">
                  <v:imagedata r:id="rId5" o:title=""/>
                </v:shape>
              </w:pict>
            </w:r>
          </w:p>
          <w:p w:rsidR="00053BD0" w:rsidRPr="00053BD0" w:rsidRDefault="00AD48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053BD0" w:rsidRPr="00053BD0" w:rsidRDefault="00053BD0" w:rsidP="00053BD0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B25688" w:rsidRPr="009F02B3" w:rsidRDefault="00053BD0" w:rsidP="00A813CA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2B3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AD48FF" w:rsidRPr="00AD48FF" w:rsidRDefault="00AD48FF" w:rsidP="00AD48FF">
      <w:pPr>
        <w:spacing w:before="60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8FF">
        <w:rPr>
          <w:rFonts w:ascii="Times New Roman" w:hAnsi="Times New Roman"/>
          <w:b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AD48FF">
        <w:rPr>
          <w:b/>
          <w:color w:val="383838"/>
          <w:sz w:val="26"/>
          <w:szCs w:val="26"/>
        </w:rPr>
        <w:t xml:space="preserve"> </w:t>
      </w:r>
      <w:r w:rsidRPr="00AD48FF">
        <w:rPr>
          <w:rFonts w:ascii="Times New Roman" w:hAnsi="Times New Roman"/>
          <w:b/>
          <w:sz w:val="28"/>
          <w:szCs w:val="28"/>
        </w:rPr>
        <w:t>и порядке и условиях предоставления в аренду включенн</w:t>
      </w:r>
      <w:r>
        <w:rPr>
          <w:rFonts w:ascii="Times New Roman" w:hAnsi="Times New Roman"/>
          <w:b/>
          <w:sz w:val="28"/>
          <w:szCs w:val="28"/>
        </w:rPr>
        <w:t>ого в данный перечень имущества</w:t>
      </w:r>
    </w:p>
    <w:p w:rsidR="004B719F" w:rsidRPr="004B719F" w:rsidRDefault="009E0B59" w:rsidP="008B608B">
      <w:pPr>
        <w:spacing w:before="6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866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86635" w:rsidRPr="00786635">
        <w:rPr>
          <w:rFonts w:ascii="Times New Roman" w:hAnsi="Times New Roman"/>
          <w:sz w:val="28"/>
          <w:szCs w:val="28"/>
        </w:rPr>
        <w:t>ст. 18 Федерального закона от 24.07.2007 № 209-ФЗ «О развитии малого и среднего предпринимательства в Российской Федерации»</w:t>
      </w:r>
      <w:r w:rsidR="005275EE">
        <w:rPr>
          <w:rFonts w:ascii="Times New Roman" w:hAnsi="Times New Roman"/>
          <w:sz w:val="28"/>
          <w:szCs w:val="28"/>
        </w:rPr>
        <w:t xml:space="preserve">, </w:t>
      </w:r>
      <w:r w:rsidRPr="009E0B59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9E0B5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822F1D">
        <w:rPr>
          <w:rFonts w:ascii="Times New Roman" w:hAnsi="Times New Roman"/>
          <w:sz w:val="28"/>
          <w:szCs w:val="28"/>
        </w:rPr>
        <w:t xml:space="preserve"> от 03.07.2018 №</w:t>
      </w:r>
      <w:r w:rsidRPr="009E0B59">
        <w:rPr>
          <w:rFonts w:ascii="Times New Roman" w:hAnsi="Times New Roman"/>
          <w:sz w:val="28"/>
          <w:szCs w:val="28"/>
        </w:rPr>
        <w:t xml:space="preserve"> 185-ФЗ </w:t>
      </w:r>
      <w:r>
        <w:rPr>
          <w:rFonts w:ascii="Times New Roman" w:hAnsi="Times New Roman"/>
          <w:sz w:val="28"/>
          <w:szCs w:val="28"/>
        </w:rPr>
        <w:t>«</w:t>
      </w:r>
      <w:r w:rsidRPr="009E0B59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  <w:r w:rsidR="004B719F" w:rsidRPr="004B719F">
        <w:rPr>
          <w:rFonts w:ascii="Times New Roman" w:hAnsi="Times New Roman"/>
          <w:sz w:val="28"/>
          <w:szCs w:val="28"/>
        </w:rPr>
        <w:t xml:space="preserve">, </w:t>
      </w:r>
      <w:r w:rsidR="00EC63B7">
        <w:rPr>
          <w:rFonts w:ascii="Times New Roman" w:hAnsi="Times New Roman"/>
          <w:sz w:val="28"/>
          <w:szCs w:val="28"/>
        </w:rPr>
        <w:t>п</w:t>
      </w:r>
      <w:r w:rsidR="00EC63B7" w:rsidRPr="00EC63B7">
        <w:rPr>
          <w:rFonts w:ascii="Times New Roman" w:hAnsi="Times New Roman"/>
          <w:sz w:val="28"/>
          <w:szCs w:val="28"/>
        </w:rPr>
        <w:t>остановление</w:t>
      </w:r>
      <w:r w:rsidR="00EC63B7">
        <w:rPr>
          <w:rFonts w:ascii="Times New Roman" w:hAnsi="Times New Roman"/>
          <w:sz w:val="28"/>
          <w:szCs w:val="28"/>
        </w:rPr>
        <w:t>м</w:t>
      </w:r>
      <w:r w:rsidR="00EC63B7" w:rsidRPr="00EC63B7">
        <w:rPr>
          <w:rFonts w:ascii="Times New Roman" w:hAnsi="Times New Roman"/>
          <w:sz w:val="28"/>
          <w:szCs w:val="28"/>
        </w:rPr>
        <w:t xml:space="preserve"> Правительства </w:t>
      </w:r>
      <w:r w:rsidR="00A23DC9">
        <w:rPr>
          <w:rFonts w:ascii="Times New Roman" w:hAnsi="Times New Roman"/>
          <w:sz w:val="28"/>
          <w:szCs w:val="28"/>
        </w:rPr>
        <w:t>РФ от 21.08.2010 №</w:t>
      </w:r>
      <w:r w:rsidR="00A23DC9" w:rsidRPr="00A23DC9">
        <w:rPr>
          <w:rFonts w:ascii="Times New Roman" w:hAnsi="Times New Roman"/>
          <w:sz w:val="28"/>
          <w:szCs w:val="28"/>
        </w:rPr>
        <w:t xml:space="preserve"> 645 </w:t>
      </w:r>
      <w:r w:rsidR="00A23DC9">
        <w:rPr>
          <w:rFonts w:ascii="Times New Roman" w:hAnsi="Times New Roman"/>
          <w:sz w:val="28"/>
          <w:szCs w:val="28"/>
        </w:rPr>
        <w:t>«</w:t>
      </w:r>
      <w:r w:rsidR="00A23DC9" w:rsidRPr="00A23DC9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</w:t>
      </w:r>
      <w:r w:rsidR="00A23DC9">
        <w:rPr>
          <w:rFonts w:ascii="Times New Roman" w:hAnsi="Times New Roman"/>
          <w:sz w:val="28"/>
          <w:szCs w:val="28"/>
        </w:rPr>
        <w:t>тавлении федерального имущества»</w:t>
      </w:r>
      <w:r w:rsidR="00EC63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4B719F" w:rsidRPr="004B719F">
        <w:rPr>
          <w:rFonts w:ascii="Times New Roman" w:hAnsi="Times New Roman"/>
          <w:sz w:val="28"/>
          <w:szCs w:val="28"/>
        </w:rPr>
        <w:t>ст. 36 Устава муниципального образования «Городской округ Ногликский», администрация муниципального образования «Городской округ Ногликский» ПОСТАНОВЛЯЕТ:</w:t>
      </w:r>
    </w:p>
    <w:p w:rsidR="00A23DC9" w:rsidRPr="00A23DC9" w:rsidRDefault="00A23DC9" w:rsidP="00D40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DC9">
        <w:rPr>
          <w:rFonts w:ascii="Times New Roman" w:hAnsi="Times New Roman"/>
          <w:sz w:val="28"/>
          <w:szCs w:val="28"/>
        </w:rPr>
        <w:t xml:space="preserve">1. Утвердить Положение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</w:t>
      </w:r>
      <w:r w:rsidRPr="00A23DC9">
        <w:rPr>
          <w:rFonts w:ascii="Times New Roman" w:hAnsi="Times New Roman"/>
          <w:sz w:val="28"/>
          <w:szCs w:val="28"/>
        </w:rPr>
        <w:lastRenderedPageBreak/>
        <w:t xml:space="preserve">условиях предоставления в аренду включенного в данный перечень имущества согласно приложению. </w:t>
      </w:r>
    </w:p>
    <w:p w:rsidR="00A23DC9" w:rsidRPr="00A23DC9" w:rsidRDefault="00A23DC9" w:rsidP="00D40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DC9">
        <w:rPr>
          <w:rFonts w:ascii="Times New Roman" w:hAnsi="Times New Roman"/>
          <w:sz w:val="28"/>
          <w:szCs w:val="28"/>
        </w:rPr>
        <w:t>2.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A23DC9" w:rsidRPr="00A23DC9" w:rsidRDefault="00A23DC9" w:rsidP="00D40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DC9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23DC9" w:rsidRPr="00A23DC9" w:rsidRDefault="00A23DC9" w:rsidP="00D40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D21">
        <w:rPr>
          <w:rFonts w:ascii="Times New Roman" w:hAnsi="Times New Roman"/>
          <w:sz w:val="28"/>
          <w:szCs w:val="28"/>
        </w:rPr>
        <w:t xml:space="preserve">4. Считать утратившим силу постановление </w:t>
      </w:r>
      <w:r w:rsidR="00D11753" w:rsidRPr="00DB4D21">
        <w:rPr>
          <w:rFonts w:ascii="Times New Roman" w:hAnsi="Times New Roman"/>
          <w:sz w:val="28"/>
          <w:szCs w:val="28"/>
        </w:rPr>
        <w:t>администрации</w:t>
      </w:r>
      <w:r w:rsidRPr="00DB4D21">
        <w:rPr>
          <w:rFonts w:ascii="Times New Roman" w:hAnsi="Times New Roman"/>
          <w:sz w:val="28"/>
          <w:szCs w:val="28"/>
        </w:rPr>
        <w:t xml:space="preserve"> муниципального образования «Городской округ Ногликский» от </w:t>
      </w:r>
      <w:r w:rsidR="00D11753" w:rsidRPr="00DB4D21">
        <w:rPr>
          <w:rFonts w:ascii="Times New Roman" w:hAnsi="Times New Roman"/>
          <w:sz w:val="28"/>
          <w:szCs w:val="28"/>
        </w:rPr>
        <w:t>27.07.2018</w:t>
      </w:r>
      <w:r w:rsidRPr="00DB4D21">
        <w:rPr>
          <w:rFonts w:ascii="Times New Roman" w:hAnsi="Times New Roman"/>
          <w:sz w:val="28"/>
          <w:szCs w:val="28"/>
        </w:rPr>
        <w:t xml:space="preserve"> № </w:t>
      </w:r>
      <w:r w:rsidR="00DB4D21" w:rsidRPr="00DB4D21">
        <w:rPr>
          <w:rFonts w:ascii="Times New Roman" w:hAnsi="Times New Roman"/>
          <w:sz w:val="28"/>
          <w:szCs w:val="28"/>
        </w:rPr>
        <w:t>736</w:t>
      </w:r>
      <w:r w:rsidRPr="00DB4D21">
        <w:rPr>
          <w:rFonts w:ascii="Times New Roman" w:hAnsi="Times New Roman"/>
          <w:sz w:val="28"/>
          <w:szCs w:val="28"/>
        </w:rPr>
        <w:t xml:space="preserve"> </w:t>
      </w:r>
      <w:r w:rsidR="00D6256F">
        <w:rPr>
          <w:rFonts w:ascii="Times New Roman" w:hAnsi="Times New Roman"/>
          <w:sz w:val="28"/>
          <w:szCs w:val="28"/>
        </w:rPr>
        <w:t>«</w:t>
      </w:r>
      <w:r w:rsidR="00DB4D21" w:rsidRPr="00DB4D21">
        <w:rPr>
          <w:rFonts w:ascii="Times New Roman" w:hAnsi="Times New Roman"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DB4D21" w:rsidRPr="00DB4D21">
        <w:rPr>
          <w:color w:val="383838"/>
          <w:sz w:val="26"/>
          <w:szCs w:val="26"/>
        </w:rPr>
        <w:t xml:space="preserve"> </w:t>
      </w:r>
      <w:r w:rsidR="00DB4D21" w:rsidRPr="00DB4D21">
        <w:rPr>
          <w:rFonts w:ascii="Times New Roman" w:hAnsi="Times New Roman"/>
          <w:sz w:val="28"/>
          <w:szCs w:val="28"/>
        </w:rPr>
        <w:t>и порядке и условиях предоставления в аренду включенного в данный перечень имущества</w:t>
      </w:r>
      <w:r w:rsidR="00D6256F">
        <w:rPr>
          <w:rFonts w:ascii="Times New Roman" w:hAnsi="Times New Roman"/>
          <w:sz w:val="28"/>
          <w:szCs w:val="28"/>
        </w:rPr>
        <w:t xml:space="preserve">» </w:t>
      </w:r>
      <w:r w:rsidRPr="00A23DC9">
        <w:rPr>
          <w:rFonts w:ascii="Times New Roman" w:hAnsi="Times New Roman"/>
          <w:sz w:val="28"/>
          <w:szCs w:val="28"/>
        </w:rPr>
        <w:t>с момента вступления в силу настоящего постановления.</w:t>
      </w:r>
    </w:p>
    <w:p w:rsidR="004B719F" w:rsidRPr="004B719F" w:rsidRDefault="00A23DC9" w:rsidP="00D40A03">
      <w:pPr>
        <w:pStyle w:val="a5"/>
        <w:tabs>
          <w:tab w:val="left" w:pos="0"/>
        </w:tabs>
        <w:spacing w:after="0"/>
        <w:ind w:right="20" w:firstLine="709"/>
        <w:jc w:val="both"/>
        <w:rPr>
          <w:sz w:val="28"/>
          <w:szCs w:val="28"/>
        </w:rPr>
      </w:pPr>
      <w:r w:rsidRPr="00A23DC9">
        <w:rPr>
          <w:sz w:val="28"/>
          <w:szCs w:val="28"/>
        </w:rPr>
        <w:t xml:space="preserve">5. Контроль за исполнением настоящего постановления возложить на председателя комитета по управлению муниципальным имуществом муниципального образования «Городской округ Ногликский» Л.В. </w:t>
      </w:r>
      <w:r w:rsidR="00DB4D21">
        <w:rPr>
          <w:sz w:val="28"/>
          <w:szCs w:val="28"/>
        </w:rPr>
        <w:t>Рахматулину.</w:t>
      </w:r>
    </w:p>
    <w:p w:rsidR="00C543D9" w:rsidRDefault="004B719F" w:rsidP="004B7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ab/>
      </w:r>
    </w:p>
    <w:p w:rsidR="004B719F" w:rsidRPr="004B719F" w:rsidRDefault="004B719F" w:rsidP="004B7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ab/>
      </w:r>
    </w:p>
    <w:p w:rsidR="004B719F" w:rsidRPr="004B719F" w:rsidRDefault="00882FC2" w:rsidP="004B7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</w:t>
      </w:r>
      <w:r w:rsidR="004B719F" w:rsidRPr="004B719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85868" w:rsidRPr="00A75FB9" w:rsidRDefault="004B719F" w:rsidP="00734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«Городской округ Ногликский»</w:t>
      </w:r>
      <w:r w:rsidRPr="004B719F">
        <w:rPr>
          <w:rFonts w:ascii="Times New Roman" w:hAnsi="Times New Roman"/>
          <w:sz w:val="28"/>
          <w:szCs w:val="28"/>
        </w:rPr>
        <w:tab/>
      </w:r>
      <w:r w:rsidRPr="004B71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</w:t>
      </w:r>
      <w:r w:rsidR="00AF7453">
        <w:rPr>
          <w:rFonts w:ascii="Times New Roman" w:hAnsi="Times New Roman"/>
          <w:sz w:val="26"/>
        </w:rPr>
        <w:t xml:space="preserve">    </w:t>
      </w:r>
      <w:r w:rsidR="00AF7453" w:rsidRPr="00AF7453">
        <w:rPr>
          <w:rFonts w:ascii="Times New Roman" w:hAnsi="Times New Roman"/>
          <w:sz w:val="28"/>
          <w:szCs w:val="28"/>
        </w:rPr>
        <w:t>С.В.Камелин</w:t>
      </w:r>
      <w:r>
        <w:rPr>
          <w:sz w:val="26"/>
        </w:rPr>
        <w:tab/>
      </w:r>
    </w:p>
    <w:p w:rsidR="004B719F" w:rsidRDefault="004B719F" w:rsidP="00C54E78">
      <w:pPr>
        <w:spacing w:after="0" w:line="240" w:lineRule="auto"/>
        <w:jc w:val="both"/>
        <w:rPr>
          <w:sz w:val="26"/>
        </w:rPr>
        <w:sectPr w:rsidR="004B719F">
          <w:type w:val="continuous"/>
          <w:pgSz w:w="12240" w:h="15840"/>
          <w:pgMar w:top="1134" w:right="850" w:bottom="1134" w:left="2127" w:header="720" w:footer="720" w:gutter="0"/>
          <w:cols w:space="720"/>
        </w:sectPr>
      </w:pPr>
      <w:r>
        <w:rPr>
          <w:sz w:val="26"/>
        </w:rPr>
        <w:tab/>
      </w:r>
    </w:p>
    <w:p w:rsidR="00962396" w:rsidRPr="00962396" w:rsidRDefault="00962396" w:rsidP="00962396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962396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962396" w:rsidRDefault="00962396" w:rsidP="00962396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96239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62396" w:rsidRPr="00962396" w:rsidRDefault="00962396" w:rsidP="00962396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 № ___</w:t>
      </w:r>
    </w:p>
    <w:p w:rsidR="007F3F90" w:rsidRPr="00962396" w:rsidRDefault="007F3F90" w:rsidP="00962396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7F3F90">
      <w:pPr>
        <w:shd w:val="clear" w:color="auto" w:fill="FFFFFF"/>
        <w:spacing w:before="67"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7F3F90" w:rsidRDefault="007F3F90" w:rsidP="007F3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формирования, ведения и обязательного опубликования перечня муниципального имущества, свободного от прав третьих лиц, </w:t>
      </w:r>
      <w:r w:rsidR="00B1319E">
        <w:rPr>
          <w:rFonts w:ascii="Times New Roman" w:eastAsia="Times New Roman" w:hAnsi="Times New Roman"/>
          <w:bCs/>
          <w:sz w:val="28"/>
          <w:szCs w:val="28"/>
          <w:lang w:eastAsia="ru-RU"/>
        </w:rPr>
        <w:t>подлежащего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</w:t>
      </w:r>
      <w:r w:rsidR="00B1319E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7F3F90" w:rsidRDefault="007F3F90" w:rsidP="007F3F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7F3F9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 муниципального образования «Городской округ Ногликский», и организациям, образующим инфраструктуру поддержки субъектов малого и среднего предпринимательства муниципального образования «Городской округ Ногликский» </w:t>
      </w:r>
      <w:r>
        <w:rPr>
          <w:rFonts w:ascii="Times New Roman" w:hAnsi="Times New Roman"/>
          <w:sz w:val="28"/>
          <w:szCs w:val="28"/>
          <w:lang w:eastAsia="ru-RU"/>
        </w:rPr>
        <w:t xml:space="preserve">за исключением указанных в </w:t>
      </w:r>
      <w:hyperlink r:id="rId6" w:history="1">
        <w:r w:rsidRPr="007F3F9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 15</w:t>
        </w:r>
      </w:hyperlink>
      <w:r w:rsidRPr="007F3F90">
        <w:rPr>
          <w:rFonts w:ascii="Times New Roman" w:hAnsi="Times New Roman"/>
          <w:sz w:val="28"/>
          <w:szCs w:val="28"/>
          <w:lang w:eastAsia="ru-RU"/>
        </w:rPr>
        <w:t xml:space="preserve"> Фед</w:t>
      </w:r>
      <w:r>
        <w:rPr>
          <w:rFonts w:ascii="Times New Roman" w:hAnsi="Times New Roman"/>
          <w:sz w:val="28"/>
          <w:szCs w:val="28"/>
          <w:lang w:eastAsia="ru-RU"/>
        </w:rPr>
        <w:t>ерального закона от 24.07.2007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учреждений.</w:t>
      </w:r>
    </w:p>
    <w:p w:rsidR="007F3F9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Объектами имущественной поддержки могут быть земельные участки </w:t>
      </w:r>
      <w:r>
        <w:rPr>
          <w:rFonts w:ascii="Times New Roman" w:hAnsi="Times New Roman"/>
          <w:sz w:val="28"/>
          <w:szCs w:val="28"/>
          <w:lang w:eastAsia="ru-RU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>
        <w:rPr>
          <w:rFonts w:ascii="Times New Roman" w:hAnsi="Times New Roman"/>
          <w:sz w:val="28"/>
          <w:szCs w:val="28"/>
        </w:rPr>
        <w:t>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7F3F90" w:rsidRPr="007F3F9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</w:t>
      </w:r>
      <w:r>
        <w:rPr>
          <w:rFonts w:ascii="Times New Roman" w:hAnsi="Times New Roman"/>
          <w:sz w:val="28"/>
          <w:szCs w:val="28"/>
        </w:rPr>
        <w:lastRenderedPageBreak/>
        <w:t xml:space="preserve"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 xml:space="preserve">и в случаях, указанных </w:t>
      </w:r>
      <w:r w:rsidRPr="007F3F9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7" w:history="1">
        <w:r w:rsidRPr="007F3F9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6</w:t>
        </w:r>
      </w:hyperlink>
      <w:r w:rsidRPr="007F3F90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7F3F9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8</w:t>
        </w:r>
      </w:hyperlink>
      <w:r w:rsidRPr="007F3F9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Pr="007F3F9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9 пункта 2 статьи 39.3</w:t>
        </w:r>
      </w:hyperlink>
      <w:r w:rsidRPr="007F3F90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0" w:history="1">
        <w:r w:rsidRPr="007F3F9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14 части 1 статьи 17.1</w:t>
        </w:r>
      </w:hyperlink>
      <w:r w:rsidRPr="007F3F9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 июля 2006 года N 135-ФЗ «О защите конкуренции».</w:t>
      </w:r>
    </w:p>
    <w:p w:rsidR="007F3F90" w:rsidRDefault="007F3F90" w:rsidP="007F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7F3F9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формирования Перечня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 Формирование Перечня, включение (исключение) объекта (объектов) из Перечня осуществляется комитетом по управлению муниципальным имуществом муниципального образования «Городской округ Ногликский» (далее – КУМИ). Утверждение Перечня осуществляется мэром муниципального образования «Городской округ Ногликский».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составляется по форме, приведенной в приложении к настоящему Положению.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В Перечень вносятся сведения о муниципальном имуществе, соответствующем критериям: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муниципальное имущество не ограничено в обороте;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муниципальное имущество не является объектом религиозного назначения;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муниципальное имущество не является объектом незавершенного строительства;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в отношении имущества не принято решение об его использовании органами местного самоуправления муниципального образования «Городской округ Ногликский», муниципальными унитарными предприятиями или муниципальными учреждениями, иными организациями, создаваемыми на базе имущества, находящегося в муниципальной собственности, для выполнения полномочий в рамках их компетенции, установленной законодательством Российской Федерации или обеспечения исполнения уставной деятельности;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муниципальное имущество не признано аварийным и подлежащим сносу или реконструкции;</w:t>
      </w:r>
    </w:p>
    <w:p w:rsidR="007F3F9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F3F9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и) земельный участок не относится к земельным участкам, </w:t>
      </w:r>
      <w:r w:rsidRPr="003A02D0">
        <w:rPr>
          <w:rFonts w:ascii="Times New Roman" w:hAnsi="Times New Roman"/>
          <w:sz w:val="28"/>
          <w:szCs w:val="28"/>
          <w:lang w:eastAsia="ru-RU"/>
        </w:rPr>
        <w:t xml:space="preserve">предусмотренным </w:t>
      </w:r>
      <w:hyperlink r:id="rId11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подпунктами 1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2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10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13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4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15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18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6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19 пункта 8 статьи 39.11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за исключением земельных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участков, предоставленных в аренду субъектам малого и среднего предпринимательства;</w:t>
      </w:r>
    </w:p>
    <w:p w:rsidR="007F3F9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бюджетным и автономным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КУМИ на согласование сделки с соответствующим имуществом, на включение муниципального имущества в перечень;</w:t>
      </w:r>
    </w:p>
    <w:p w:rsidR="007F3F9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7F3F9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>
        <w:rPr>
          <w:rFonts w:ascii="Times New Roman" w:hAnsi="Times New Roman"/>
          <w:sz w:val="28"/>
          <w:szCs w:val="28"/>
          <w:lang w:eastAsia="ru-RU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основе предложений муниципальных унитарных предприятий, бюджетных и автономных учреждений,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2.4. 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Рассмотрение предложения, указанного в </w:t>
      </w:r>
      <w:r w:rsidRPr="003A02D0">
        <w:rPr>
          <w:rFonts w:ascii="Times New Roman" w:hAnsi="Times New Roman"/>
          <w:sz w:val="28"/>
          <w:szCs w:val="28"/>
          <w:lang w:eastAsia="ru-RU"/>
        </w:rPr>
        <w:t>под</w:t>
      </w:r>
      <w:hyperlink r:id="rId17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2.3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рассматривается уполномоченным органом – КУМИ и согласовывается с </w:t>
      </w: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консультативным Советом по развитию малого и </w:t>
      </w: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среднего предпринимательства в течение 30 календарных дней с даты поступления</w:t>
      </w:r>
      <w:r w:rsidRPr="003A02D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hAnsi="Times New Roman"/>
          <w:sz w:val="28"/>
          <w:szCs w:val="28"/>
          <w:lang w:eastAsia="ru-RU"/>
        </w:rPr>
        <w:t>По результатам рассмотрения предложения КУМИ принимается одно из следующих решений: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hAnsi="Times New Roman"/>
          <w:sz w:val="28"/>
          <w:szCs w:val="28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под</w:t>
      </w:r>
      <w:hyperlink r:id="rId18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2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>.2. настоящего Положения;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hAnsi="Times New Roman"/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под</w:t>
      </w:r>
      <w:hyperlink r:id="rId19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пунктов 2.6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>. и 2.</w:t>
      </w:r>
      <w:hyperlink r:id="rId20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7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>. настоящего Положения;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hAnsi="Times New Roman"/>
          <w:sz w:val="28"/>
          <w:szCs w:val="28"/>
          <w:lang w:eastAsia="ru-RU"/>
        </w:rPr>
        <w:t>в) об отказе в учете предложения.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hAnsi="Times New Roman"/>
          <w:sz w:val="28"/>
          <w:szCs w:val="28"/>
          <w:lang w:eastAsia="ru-RU"/>
        </w:rPr>
        <w:t>2.5. В случае принятия решения об отказе в учете предложения, указанного в под</w:t>
      </w:r>
      <w:hyperlink r:id="rId21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2.3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. настоящего Положения, КУМИ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22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или исключения сведений о муниципальном имуществе из Перечня.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 xml:space="preserve">2.6. Уполномоченный орган КУМИ вправе исключить сведения о муниципальном имуществе из Перечня, </w:t>
      </w:r>
      <w:r w:rsidRPr="003A02D0">
        <w:rPr>
          <w:rFonts w:ascii="Times New Roman" w:hAnsi="Times New Roman"/>
          <w:sz w:val="28"/>
          <w:szCs w:val="28"/>
          <w:lang w:eastAsia="ru-RU"/>
        </w:rPr>
        <w:t>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hAnsi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hAnsi="Times New Roman"/>
          <w:sz w:val="28"/>
          <w:szCs w:val="28"/>
          <w:lang w:eastAsia="ru-RU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3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«О защите конкуренции» или Земельным </w:t>
      </w:r>
      <w:hyperlink r:id="rId24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hAnsi="Times New Roman"/>
          <w:sz w:val="28"/>
          <w:szCs w:val="28"/>
          <w:lang w:eastAsia="ru-RU"/>
        </w:rPr>
        <w:t xml:space="preserve"> 2.7. Уполномоченный орган КУМИ исключает </w:t>
      </w: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>сведения о муниципальном имуществе из Перечня в следующих случаях:</w:t>
      </w:r>
    </w:p>
    <w:p w:rsidR="007F3F90" w:rsidRPr="003A02D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>а) в отношении имущества принято решение об его использовании органами местного самоуправления муниципального образования «Городской округ Ногликский», муниципальными унитарными предприятиями или муниципальными учреждениями, иными организациями, создаваемыми на базе имущества, находящегося в муниципальной собственности, для выполнения полномочий в рамках их компетенции, установленной законодательством Российской Федерации или обеспечения исполнения уставной деятельности;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отношении имущества принято решение о его передачи из муниципальной собственности в собственность Сахалинской области или федеральную собственность;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право муниципальной собственности на имущество прекращено по решению суда или в ином установленном законом порядке;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в связи с изменением количественных и качественных характеристик имущества, в результате которого оно становится непригодным к использованию по целевому назначению;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Pr="003A02D0">
        <w:rPr>
          <w:rFonts w:ascii="Times New Roman" w:hAnsi="Times New Roman"/>
          <w:sz w:val="28"/>
          <w:szCs w:val="28"/>
          <w:lang w:eastAsia="ru-RU"/>
        </w:rPr>
        <w:t>муниципальное имущество не соответствует критериям, установленным под</w:t>
      </w:r>
      <w:hyperlink r:id="rId25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2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>.2 настоящего Положения;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>е) в связи с выкупом имущества субъектом малого и среднего предпринимательства, арендующим имущество, включенного в Перечень.</w:t>
      </w:r>
    </w:p>
    <w:p w:rsidR="008917CC" w:rsidRPr="00210E47" w:rsidRDefault="00D40A03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2.8</w:t>
      </w:r>
      <w:r w:rsidR="008917CC" w:rsidRPr="008917CC">
        <w:rPr>
          <w:rFonts w:ascii="Times New Roman" w:hAnsi="Times New Roman"/>
          <w:sz w:val="28"/>
          <w:szCs w:val="28"/>
        </w:rPr>
        <w:t xml:space="preserve">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</w:t>
      </w:r>
      <w:hyperlink r:id="rId26" w:history="1">
        <w:r w:rsidR="008917CC" w:rsidRPr="00210E4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24.07.2007 N 209-ФЗ </w:t>
        </w:r>
        <w:r w:rsidR="00210E4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917CC" w:rsidRPr="00210E4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="00BA5625">
        <w:rPr>
          <w:rFonts w:ascii="Times New Roman" w:hAnsi="Times New Roman"/>
          <w:sz w:val="28"/>
          <w:szCs w:val="28"/>
        </w:rPr>
        <w:t>».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D56B8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ведения и опубликования Перечня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Ведение Перечня осуществляется уполномоченным лицом КУМИ в электронном виде путем внесения и исключения данных об объектах в соответствии с постановлением мэра муниципального образования «Городской округ Ногликский» об утверждении Перечня или о внесении изменений в Перечень.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Уполномоченное лицо КУМИ: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контроль за целевым использованием имущества, включенного в Перечень;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рассматривает и согласовывает с консультативным Советом по развитию малого и среднего предпринимательства предложения по включению (исключению) муниципального имущества из Перечня;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учет объектов муниципального имущества, включенных в Перечень;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автоматизированное ведение и информационно-справочное обслуживание Перечня.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7F3F9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бюджетным и автономным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Утвержденный Перечень, все изменения и дополнения к нему подлежат обязательному опубликованию в средствах массовой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в течение 10 рабочих дней со дня утверждения и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образования «Городской округ Ногликский» в сети «Интернет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в течение 3 рабочих дней со дня утверждения.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BA562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предоставления имущества в аренду</w:t>
      </w:r>
    </w:p>
    <w:p w:rsidR="007F3F90" w:rsidRDefault="007F3F90" w:rsidP="00BA56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Арендаторами имущества могут быть: 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 предпринимательства в Российской Федерации» (далее - Федеральный закон); 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 </w:t>
      </w:r>
    </w:p>
    <w:p w:rsidR="007F3F9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7F3F90" w:rsidRPr="003A02D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 xml:space="preserve">.4. 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27" w:history="1">
        <w:r w:rsidRPr="003A02D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Правилами</w:t>
        </w:r>
      </w:hyperlink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> 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7F3F90" w:rsidRPr="003A02D0" w:rsidRDefault="007F3F90" w:rsidP="007F3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>4.5. </w:t>
      </w:r>
      <w:r w:rsidRPr="003A02D0">
        <w:rPr>
          <w:rFonts w:ascii="Times New Roman" w:hAnsi="Times New Roman"/>
          <w:sz w:val="28"/>
          <w:szCs w:val="28"/>
          <w:lang w:eastAsia="ru-RU"/>
        </w:rPr>
        <w:t xml:space="preserve">Срок договора аренды муниципального имущества (за исключением земельных участков), включенного в </w:t>
      </w:r>
      <w:hyperlink r:id="rId28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 Срок договора </w:t>
      </w:r>
      <w:r w:rsidRPr="003A02D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аренды земельного участка, включенного в перечень, определяется в соответствии с Земельным </w:t>
      </w:r>
      <w:hyperlink r:id="rId29" w:history="1">
        <w:r w:rsidRPr="003A02D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3A02D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7F3F90" w:rsidRPr="003A02D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>4.6. 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7F3F90" w:rsidRPr="003A02D0" w:rsidRDefault="007F3F90" w:rsidP="007F3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2D0">
        <w:rPr>
          <w:rFonts w:ascii="Times New Roman" w:eastAsia="Times New Roman" w:hAnsi="Times New Roman"/>
          <w:sz w:val="28"/>
          <w:szCs w:val="28"/>
          <w:lang w:eastAsia="ru-RU"/>
        </w:rPr>
        <w:t>4.7. 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</w:t>
      </w:r>
      <w:r w:rsidR="003711A4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оценочной деятельности, за исключением случаев</w:t>
      </w:r>
      <w:r w:rsidR="006A6B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762A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статьей 8 </w:t>
      </w:r>
      <w:r w:rsidR="006A6BD8">
        <w:rPr>
          <w:rFonts w:ascii="Times New Roman" w:eastAsia="Times New Roman" w:hAnsi="Times New Roman"/>
          <w:sz w:val="28"/>
          <w:szCs w:val="28"/>
          <w:lang w:eastAsia="ru-RU"/>
        </w:rPr>
        <w:t>Закона об оценочной деятельности.</w:t>
      </w:r>
    </w:p>
    <w:p w:rsidR="007F3F90" w:rsidRPr="003A02D0" w:rsidRDefault="007F3F90" w:rsidP="007F3F9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2D0">
        <w:rPr>
          <w:sz w:val="28"/>
          <w:szCs w:val="28"/>
        </w:rPr>
        <w:t xml:space="preserve">Размер арендной платы, определенный по результатам торгов, ежегодно изменяется путем умножения на коэффициент инфляции, утверждаемый Федеральным законом Российской Федерации «О федеральном бюджете» на очередной финансовый год и плановый период, в соответствии с договором аренды. </w:t>
      </w:r>
    </w:p>
    <w:p w:rsidR="007F3F90" w:rsidRPr="003A02D0" w:rsidRDefault="007F3F90" w:rsidP="007F3F9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2D0">
        <w:rPr>
          <w:sz w:val="28"/>
          <w:szCs w:val="28"/>
        </w:rPr>
        <w:t xml:space="preserve">4.8.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 </w:t>
      </w:r>
    </w:p>
    <w:p w:rsidR="007F3F90" w:rsidRPr="003A02D0" w:rsidRDefault="007F3F90" w:rsidP="007F3F9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2D0">
        <w:rPr>
          <w:sz w:val="28"/>
          <w:szCs w:val="28"/>
        </w:rPr>
        <w:t xml:space="preserve">4.9.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КУМИ осуществлять проверки его использования в сроки, установленные действующим законодательством. </w:t>
      </w:r>
    </w:p>
    <w:p w:rsidR="007F3F90" w:rsidRPr="003A02D0" w:rsidRDefault="007F3F90" w:rsidP="007F3F9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2D0">
        <w:rPr>
          <w:sz w:val="28"/>
          <w:szCs w:val="28"/>
        </w:rPr>
        <w:t>4.10. 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ст. ст. 4, 15 Федерального закона, договор аренды подлежит расторжению.</w:t>
      </w:r>
    </w:p>
    <w:p w:rsidR="007F3F90" w:rsidRPr="003A02D0" w:rsidRDefault="007F3F90" w:rsidP="007F3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F90" w:rsidRPr="003A02D0" w:rsidRDefault="007F3F90" w:rsidP="007F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Pr="003A02D0" w:rsidRDefault="007F3F90" w:rsidP="007F3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F3F90" w:rsidRPr="003A02D0">
          <w:pgSz w:w="11906" w:h="16838"/>
          <w:pgMar w:top="993" w:right="850" w:bottom="1134" w:left="1701" w:header="708" w:footer="708" w:gutter="0"/>
          <w:cols w:space="720"/>
        </w:sectPr>
      </w:pPr>
    </w:p>
    <w:p w:rsidR="00D40A03" w:rsidRDefault="00D40A03" w:rsidP="00D40A03">
      <w:pPr>
        <w:pStyle w:val="ConsPlusNormal"/>
        <w:shd w:val="clear" w:color="auto" w:fill="FFFFFF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0A03" w:rsidRDefault="00D40A03" w:rsidP="00D40A03">
      <w:pPr>
        <w:pStyle w:val="ConsPlusNormal"/>
        <w:shd w:val="clear" w:color="auto" w:fill="FFFFFF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40A03" w:rsidRDefault="00D40A03" w:rsidP="00D40A03">
      <w:pPr>
        <w:pStyle w:val="ConsPlusNormal"/>
        <w:shd w:val="clear" w:color="auto" w:fill="FFFFFF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№ ___</w:t>
      </w:r>
    </w:p>
    <w:p w:rsidR="00D40A03" w:rsidRPr="000B65DE" w:rsidRDefault="00D40A03" w:rsidP="00D40A03">
      <w:pPr>
        <w:pStyle w:val="ConsPlusNormal"/>
        <w:shd w:val="clear" w:color="auto" w:fill="FFFFFF"/>
        <w:ind w:left="2977"/>
        <w:jc w:val="center"/>
        <w:rPr>
          <w:rFonts w:ascii="Times New Roman" w:hAnsi="Times New Roman" w:cs="Times New Roman"/>
          <w:sz w:val="28"/>
          <w:szCs w:val="28"/>
        </w:rPr>
      </w:pPr>
    </w:p>
    <w:p w:rsidR="00D40A03" w:rsidRDefault="00D40A03" w:rsidP="00D56B83">
      <w:pPr>
        <w:shd w:val="clear" w:color="auto" w:fill="FFFFFF"/>
        <w:spacing w:after="0" w:line="1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F90" w:rsidRDefault="007F3F90" w:rsidP="00D56B83">
      <w:pPr>
        <w:shd w:val="clear" w:color="auto" w:fill="FFFFFF"/>
        <w:spacing w:after="0" w:line="1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7F3F90" w:rsidRDefault="007F3F90" w:rsidP="00D56B83">
      <w:pPr>
        <w:shd w:val="clear" w:color="auto" w:fill="FFFFFF"/>
        <w:spacing w:before="67" w:after="100" w:line="1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3F90" w:rsidRDefault="007F3F90" w:rsidP="007F3F90">
      <w:pPr>
        <w:shd w:val="clear" w:color="auto" w:fill="FFFFFF"/>
        <w:spacing w:before="67" w:after="100" w:line="1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F3F90" w:rsidRDefault="007F3F90" w:rsidP="007F3F90">
      <w:pPr>
        <w:shd w:val="clear" w:color="auto" w:fill="FFFFFF"/>
        <w:spacing w:before="67" w:after="100" w:line="1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611"/>
        <w:gridCol w:w="2267"/>
        <w:gridCol w:w="1417"/>
        <w:gridCol w:w="1418"/>
        <w:gridCol w:w="2267"/>
      </w:tblGrid>
      <w:tr w:rsidR="007F3F90" w:rsidRPr="00F73015" w:rsidTr="007F3F90">
        <w:trPr>
          <w:trHeight w:val="660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F90" w:rsidRPr="00F73015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015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F90" w:rsidRPr="00F73015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015">
              <w:rPr>
                <w:rFonts w:ascii="Times New Roman" w:hAnsi="Times New Roman"/>
                <w:sz w:val="28"/>
                <w:szCs w:val="28"/>
              </w:rPr>
              <w:t xml:space="preserve">Наименование недвижимого имущества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F90" w:rsidRPr="00F73015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01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F3F90" w:rsidRPr="00F73015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015">
              <w:rPr>
                <w:rFonts w:ascii="Times New Roman" w:hAnsi="Times New Roman"/>
                <w:sz w:val="28"/>
                <w:szCs w:val="28"/>
              </w:rPr>
              <w:t>Площадь, кв. м.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F90" w:rsidRPr="00F73015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015">
              <w:rPr>
                <w:rFonts w:ascii="Times New Roman" w:hAnsi="Times New Roman"/>
                <w:sz w:val="28"/>
                <w:szCs w:val="28"/>
              </w:rPr>
              <w:t>Назначение использования объекта при сдаче в аренду</w:t>
            </w:r>
          </w:p>
        </w:tc>
      </w:tr>
      <w:tr w:rsidR="007F3F90" w:rsidTr="007F3F90">
        <w:trPr>
          <w:trHeight w:val="675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F90" w:rsidRDefault="007F3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F90" w:rsidRDefault="007F3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F90" w:rsidRDefault="007F3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F90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наземная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F90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подвальное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F90" w:rsidRDefault="007F3F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90" w:rsidTr="007F3F90">
        <w:trPr>
          <w:trHeight w:val="675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F90" w:rsidTr="007F3F90">
        <w:trPr>
          <w:trHeight w:val="735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F90" w:rsidRDefault="007F3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3F90" w:rsidRDefault="007F3F90" w:rsidP="007F3F90">
      <w:pPr>
        <w:shd w:val="clear" w:color="auto" w:fill="FFFFFF"/>
        <w:spacing w:before="67" w:after="100" w:line="13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1979"/>
        <w:gridCol w:w="3737"/>
      </w:tblGrid>
      <w:tr w:rsidR="007F3F90" w:rsidTr="007F3F90">
        <w:trPr>
          <w:trHeight w:val="6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F90" w:rsidRDefault="007F3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пп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F90" w:rsidRDefault="007F3F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движимого имущества </w:t>
            </w:r>
          </w:p>
          <w:p w:rsidR="007F3F90" w:rsidRDefault="007F3F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(оборудование)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F90" w:rsidRDefault="007F3F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3F90" w:rsidRDefault="007F3F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7F3F90" w:rsidTr="007F3F90">
        <w:trPr>
          <w:trHeight w:val="6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90" w:rsidRDefault="007F3F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90" w:rsidRDefault="007F3F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90" w:rsidRDefault="007F3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90" w:rsidRDefault="007F3F90">
            <w:pPr>
              <w:pStyle w:val="ConsPlusNormal"/>
              <w:ind w:firstLine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90" w:rsidTr="007F3F90">
        <w:trPr>
          <w:trHeight w:val="3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90" w:rsidRDefault="007F3F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90" w:rsidRDefault="007F3F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90" w:rsidRDefault="007F3F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90" w:rsidRDefault="007F3F90">
            <w:pPr>
              <w:pStyle w:val="ConsPlusNormal"/>
              <w:ind w:firstLine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F90" w:rsidRDefault="007F3F90" w:rsidP="007F3F90">
      <w:pPr>
        <w:shd w:val="clear" w:color="auto" w:fill="FFFFFF"/>
        <w:spacing w:before="67" w:after="100" w:line="1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813CA" w:rsidRPr="00A813CA" w:rsidRDefault="00A813CA" w:rsidP="00AF7453">
      <w:pPr>
        <w:tabs>
          <w:tab w:val="left" w:pos="2835"/>
        </w:tabs>
        <w:spacing w:before="480" w:after="6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813CA" w:rsidRPr="00A813CA" w:rsidSect="00053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0289F"/>
    <w:multiLevelType w:val="multilevel"/>
    <w:tmpl w:val="4802E8EC"/>
    <w:lvl w:ilvl="0">
      <w:start w:val="1"/>
      <w:numFmt w:val="decimal"/>
      <w:lvlText w:val="%1."/>
      <w:lvlJc w:val="left"/>
      <w:pPr>
        <w:ind w:left="3285" w:hanging="360"/>
      </w:pPr>
    </w:lvl>
    <w:lvl w:ilvl="1">
      <w:start w:val="1"/>
      <w:numFmt w:val="decimal"/>
      <w:isLgl/>
      <w:lvlText w:val="%1.%2."/>
      <w:lvlJc w:val="left"/>
      <w:pPr>
        <w:ind w:left="1200" w:hanging="1200"/>
      </w:pPr>
    </w:lvl>
    <w:lvl w:ilvl="2">
      <w:start w:val="1"/>
      <w:numFmt w:val="decimal"/>
      <w:isLgl/>
      <w:lvlText w:val="%1.%2.%3."/>
      <w:lvlJc w:val="left"/>
      <w:pPr>
        <w:ind w:left="4125" w:hanging="1200"/>
      </w:pPr>
    </w:lvl>
    <w:lvl w:ilvl="3">
      <w:start w:val="1"/>
      <w:numFmt w:val="decimal"/>
      <w:isLgl/>
      <w:lvlText w:val="%1.%2.%3.%4."/>
      <w:lvlJc w:val="left"/>
      <w:pPr>
        <w:ind w:left="4125" w:hanging="1200"/>
      </w:pPr>
    </w:lvl>
    <w:lvl w:ilvl="4">
      <w:start w:val="1"/>
      <w:numFmt w:val="decimal"/>
      <w:isLgl/>
      <w:lvlText w:val="%1.%2.%3.%4.%5."/>
      <w:lvlJc w:val="left"/>
      <w:pPr>
        <w:ind w:left="4125" w:hanging="120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472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</w:lvl>
  </w:abstractNum>
  <w:abstractNum w:abstractNumId="1">
    <w:nsid w:val="36D96C05"/>
    <w:multiLevelType w:val="multilevel"/>
    <w:tmpl w:val="14068478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BC01EDF"/>
    <w:multiLevelType w:val="multilevel"/>
    <w:tmpl w:val="0BF06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3CA"/>
    <w:rsid w:val="00001890"/>
    <w:rsid w:val="00053BD0"/>
    <w:rsid w:val="00073CE1"/>
    <w:rsid w:val="000A45CE"/>
    <w:rsid w:val="000E7473"/>
    <w:rsid w:val="000E79F3"/>
    <w:rsid w:val="00113996"/>
    <w:rsid w:val="00133266"/>
    <w:rsid w:val="0013347E"/>
    <w:rsid w:val="001347B9"/>
    <w:rsid w:val="0014272B"/>
    <w:rsid w:val="00143062"/>
    <w:rsid w:val="001A11A8"/>
    <w:rsid w:val="001F21C6"/>
    <w:rsid w:val="001F34DD"/>
    <w:rsid w:val="00210E47"/>
    <w:rsid w:val="00211D16"/>
    <w:rsid w:val="0024408D"/>
    <w:rsid w:val="002819FD"/>
    <w:rsid w:val="00294444"/>
    <w:rsid w:val="002A231E"/>
    <w:rsid w:val="002A3342"/>
    <w:rsid w:val="002B7DFF"/>
    <w:rsid w:val="002C6BCC"/>
    <w:rsid w:val="002D14B7"/>
    <w:rsid w:val="002F22B7"/>
    <w:rsid w:val="003067CE"/>
    <w:rsid w:val="00306A50"/>
    <w:rsid w:val="00332021"/>
    <w:rsid w:val="00350D89"/>
    <w:rsid w:val="00352FF2"/>
    <w:rsid w:val="003711A4"/>
    <w:rsid w:val="003762AF"/>
    <w:rsid w:val="003A02D0"/>
    <w:rsid w:val="003E1C32"/>
    <w:rsid w:val="003E6F4E"/>
    <w:rsid w:val="00421690"/>
    <w:rsid w:val="004267B7"/>
    <w:rsid w:val="00450B9E"/>
    <w:rsid w:val="0045667D"/>
    <w:rsid w:val="004625B6"/>
    <w:rsid w:val="00467080"/>
    <w:rsid w:val="004A351B"/>
    <w:rsid w:val="004B0AA2"/>
    <w:rsid w:val="004B34CD"/>
    <w:rsid w:val="004B719F"/>
    <w:rsid w:val="004F33E8"/>
    <w:rsid w:val="00510B23"/>
    <w:rsid w:val="005275EE"/>
    <w:rsid w:val="00533FDC"/>
    <w:rsid w:val="00546CD9"/>
    <w:rsid w:val="00556B7E"/>
    <w:rsid w:val="00557B48"/>
    <w:rsid w:val="0058303E"/>
    <w:rsid w:val="005A0B78"/>
    <w:rsid w:val="005A5863"/>
    <w:rsid w:val="005D0F36"/>
    <w:rsid w:val="005D394F"/>
    <w:rsid w:val="005E20BB"/>
    <w:rsid w:val="005F1514"/>
    <w:rsid w:val="0060750E"/>
    <w:rsid w:val="00611025"/>
    <w:rsid w:val="006248CC"/>
    <w:rsid w:val="00660912"/>
    <w:rsid w:val="00675E0B"/>
    <w:rsid w:val="00697C54"/>
    <w:rsid w:val="006A6BD8"/>
    <w:rsid w:val="006E5EFE"/>
    <w:rsid w:val="00705229"/>
    <w:rsid w:val="00734167"/>
    <w:rsid w:val="00786635"/>
    <w:rsid w:val="00791246"/>
    <w:rsid w:val="00794FE0"/>
    <w:rsid w:val="007B022D"/>
    <w:rsid w:val="007C1C5C"/>
    <w:rsid w:val="007C1C6F"/>
    <w:rsid w:val="007D6482"/>
    <w:rsid w:val="007E4F8B"/>
    <w:rsid w:val="007F3F90"/>
    <w:rsid w:val="00804D3B"/>
    <w:rsid w:val="00816ABA"/>
    <w:rsid w:val="00822F1D"/>
    <w:rsid w:val="008609A9"/>
    <w:rsid w:val="008620B0"/>
    <w:rsid w:val="0086444E"/>
    <w:rsid w:val="00872338"/>
    <w:rsid w:val="00882FC2"/>
    <w:rsid w:val="008917CC"/>
    <w:rsid w:val="008B46C8"/>
    <w:rsid w:val="008B608B"/>
    <w:rsid w:val="0093155E"/>
    <w:rsid w:val="00951926"/>
    <w:rsid w:val="00962396"/>
    <w:rsid w:val="00972502"/>
    <w:rsid w:val="00987044"/>
    <w:rsid w:val="00987DB5"/>
    <w:rsid w:val="009C4296"/>
    <w:rsid w:val="009D3FD6"/>
    <w:rsid w:val="009D50E0"/>
    <w:rsid w:val="009E0B59"/>
    <w:rsid w:val="009F02B3"/>
    <w:rsid w:val="00A1456D"/>
    <w:rsid w:val="00A23DC9"/>
    <w:rsid w:val="00A36880"/>
    <w:rsid w:val="00A75FB9"/>
    <w:rsid w:val="00A77B02"/>
    <w:rsid w:val="00A813CA"/>
    <w:rsid w:val="00AA4A5E"/>
    <w:rsid w:val="00AC74DF"/>
    <w:rsid w:val="00AD48FF"/>
    <w:rsid w:val="00AE1F44"/>
    <w:rsid w:val="00AE7A74"/>
    <w:rsid w:val="00AF7453"/>
    <w:rsid w:val="00B1319E"/>
    <w:rsid w:val="00B15AEA"/>
    <w:rsid w:val="00B25688"/>
    <w:rsid w:val="00B32D1F"/>
    <w:rsid w:val="00B3728A"/>
    <w:rsid w:val="00B375E4"/>
    <w:rsid w:val="00B56398"/>
    <w:rsid w:val="00B85868"/>
    <w:rsid w:val="00B86AA0"/>
    <w:rsid w:val="00BA5625"/>
    <w:rsid w:val="00BD02D0"/>
    <w:rsid w:val="00BD0B83"/>
    <w:rsid w:val="00BE38E4"/>
    <w:rsid w:val="00C348F2"/>
    <w:rsid w:val="00C461BD"/>
    <w:rsid w:val="00C543D9"/>
    <w:rsid w:val="00C54E78"/>
    <w:rsid w:val="00C6690B"/>
    <w:rsid w:val="00CB0E06"/>
    <w:rsid w:val="00CC7C7D"/>
    <w:rsid w:val="00CD6BE6"/>
    <w:rsid w:val="00D11753"/>
    <w:rsid w:val="00D17DB0"/>
    <w:rsid w:val="00D25110"/>
    <w:rsid w:val="00D3658A"/>
    <w:rsid w:val="00D37925"/>
    <w:rsid w:val="00D40458"/>
    <w:rsid w:val="00D40A03"/>
    <w:rsid w:val="00D55421"/>
    <w:rsid w:val="00D56B83"/>
    <w:rsid w:val="00D6256F"/>
    <w:rsid w:val="00D775AF"/>
    <w:rsid w:val="00D80978"/>
    <w:rsid w:val="00D837B1"/>
    <w:rsid w:val="00DB0DDA"/>
    <w:rsid w:val="00DB324B"/>
    <w:rsid w:val="00DB3762"/>
    <w:rsid w:val="00DB4D21"/>
    <w:rsid w:val="00E16B36"/>
    <w:rsid w:val="00E64A49"/>
    <w:rsid w:val="00E64D81"/>
    <w:rsid w:val="00E77A75"/>
    <w:rsid w:val="00EC63B7"/>
    <w:rsid w:val="00ED0393"/>
    <w:rsid w:val="00EE6226"/>
    <w:rsid w:val="00EF0ED5"/>
    <w:rsid w:val="00F069CE"/>
    <w:rsid w:val="00F2036F"/>
    <w:rsid w:val="00F438A3"/>
    <w:rsid w:val="00F73015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924AD7-F2F3-4F57-B20B-8BC34A1A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A75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unhideWhenUsed/>
    <w:rsid w:val="00A23DC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23DC9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semiHidden/>
    <w:unhideWhenUsed/>
    <w:rsid w:val="007F3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F3F90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7F3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uiPriority w:val="99"/>
    <w:semiHidden/>
    <w:unhideWhenUsed/>
    <w:rsid w:val="007F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9936DF1C67ABFEA6441C38C5485F56C7DA6F248C50667B66E6E5E3DA6D5B5E2C5EF9B43A9217A9D3AB3579C9C4ED245DF1437C47f13AX" TargetMode="External"/><Relationship Id="rId13" Type="http://schemas.openxmlformats.org/officeDocument/2006/relationships/hyperlink" Target="consultantplus://offline/ref=3D5D9BE7B974E97A3CF449D9397936768C5A3CF46F75EB360CBDD37A6A6206FD16289C8880A4985F53D395478762EA56F46367391DA8c4B" TargetMode="External"/><Relationship Id="rId18" Type="http://schemas.openxmlformats.org/officeDocument/2006/relationships/hyperlink" Target="consultantplus://offline/ref=7B9D0B80EC771689E2AD11CDC935681648F829518EAA5CF8EA31824E7666E4104932C7E1BB33C5F6Q6aEH" TargetMode="External"/><Relationship Id="rId26" Type="http://schemas.openxmlformats.org/officeDocument/2006/relationships/hyperlink" Target="http://docs.cntd.ru/document/90205319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26430A4B9DA148C141804F3F1020CF786C80A677944C1F5621B9DBA81779C8CE0FAF3227519F49P1d0H" TargetMode="External"/><Relationship Id="rId7" Type="http://schemas.openxmlformats.org/officeDocument/2006/relationships/hyperlink" Target="consultantplus://offline/ref=E79936DF1C67ABFEA6441C38C5485F56C7DA6F248C50667B66E6E5E3DA6D5B5E2C5EF9B43A9017A9D3AB3579C9C4ED245DF1437C47f13AX" TargetMode="External"/><Relationship Id="rId12" Type="http://schemas.openxmlformats.org/officeDocument/2006/relationships/hyperlink" Target="consultantplus://offline/ref=3D5D9BE7B974E97A3CF449D9397936768C5A3CF46F75EB360CBDD37A6A6206FD16289C8880A7985F53D395478762EA56F46367391DA8c4B" TargetMode="External"/><Relationship Id="rId17" Type="http://schemas.openxmlformats.org/officeDocument/2006/relationships/hyperlink" Target="consultantplus://offline/ref=EF733BA9B36F7620CC5FFB0F34243017EA930A4BB411BB7FEF1A609F229D06930BC9017F5CE65BB9331BB19AD11D46DA6FF345A0304880D20Ac6F" TargetMode="External"/><Relationship Id="rId25" Type="http://schemas.openxmlformats.org/officeDocument/2006/relationships/hyperlink" Target="consultantplus://offline/ref=50BC38CA65339EF75027D72CA9BF2581AB8FA37497B18A79D60E436D27DC3C57360A0FD69860FF7603EF8E39D90625332B7AA9D6CFA721EEO2hF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5D9BE7B974E97A3CF449D9397936768C5A3CF46F75EB360CBDD37A6A6206FD16289C8880AE985F53D395478762EA56F46367391DA8c4B" TargetMode="External"/><Relationship Id="rId20" Type="http://schemas.openxmlformats.org/officeDocument/2006/relationships/hyperlink" Target="consultantplus://offline/ref=7B9D0B80EC771689E2AD11CDC935681648F829518EAA5CF8EA31824E7666E4104932C7E1BB33C5F0Q6aCH" TargetMode="External"/><Relationship Id="rId29" Type="http://schemas.openxmlformats.org/officeDocument/2006/relationships/hyperlink" Target="consultantplus://offline/ref=CEEEBF77D95C2356E9510AC17F5464C3948B6F2422ED3A505FDC9A7F43D8ADB87275C2CCB568C880E237AA45BDHEn7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ACB9177143F88B4DB1ED5C68BD64EDA050AB59790143B7C0284500D64899C7E7EFEA8881374D8360BBADA15B4AE7B4520B572AE7DEF3D5r0J2F" TargetMode="External"/><Relationship Id="rId11" Type="http://schemas.openxmlformats.org/officeDocument/2006/relationships/hyperlink" Target="consultantplus://offline/ref=3D5D9BE7B974E97A3CF449D9397936768C5A3CF46F75EB360CBDD37A6A6206FD16289C8F85A7920056C6841F8960F548F57C7B3B1F86A0c4B" TargetMode="External"/><Relationship Id="rId24" Type="http://schemas.openxmlformats.org/officeDocument/2006/relationships/hyperlink" Target="consultantplus://offline/ref=57E575C758BA2A309D12F1120925F595FC059CB05BA9857FB4AC132796DDCBE49CA30C2023EB44976235D56BF8S3k1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D5D9BE7B974E97A3CF449D9397936768C5A3CF46F75EB360CBDD37A6A6206FD16289C8880AF985F53D395478762EA56F46367391DA8c4B" TargetMode="External"/><Relationship Id="rId23" Type="http://schemas.openxmlformats.org/officeDocument/2006/relationships/hyperlink" Target="consultantplus://offline/ref=57E575C758BA2A309D12F1120925F595FC059CB05AAB857FB4AC132796DDCBE49CA30C2023EB44976235D56BF8S3k1F" TargetMode="External"/><Relationship Id="rId28" Type="http://schemas.openxmlformats.org/officeDocument/2006/relationships/hyperlink" Target="consultantplus://offline/ref=CEEEBF77D95C2356E9510AC17F5464C3948C642228E93A505FDC9A7F43D8ADB860759AC0B56BD681E522FC14FBB285A39A4ABCD5960FBDA7HBnDX" TargetMode="External"/><Relationship Id="rId10" Type="http://schemas.openxmlformats.org/officeDocument/2006/relationships/hyperlink" Target="consultantplus://offline/ref=B36746A56DBAAE4B64DDA5F4DCAA32AD0F363EA90E80D1422DD89C0EE4CA360B3C726E885345C2C20B44D690591824F4E12313EF85kEpFB" TargetMode="External"/><Relationship Id="rId19" Type="http://schemas.openxmlformats.org/officeDocument/2006/relationships/hyperlink" Target="consultantplus://offline/ref=7B9D0B80EC771689E2AD11CDC935681648F829518EAA5CF8EA31824E7666E4104932C7E1BB33C5F1Q6aB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9936DF1C67ABFEA6441C38C5485F56C7DA6F248C50667B66E6E5E3DA6D5B5E2C5EF9B13B991CF6D6BE2421C7C6F23A5CEE5F7E4518f13AX" TargetMode="External"/><Relationship Id="rId14" Type="http://schemas.openxmlformats.org/officeDocument/2006/relationships/hyperlink" Target="consultantplus://offline/ref=3D5D9BE7B974E97A3CF449D9397936768C5A3CF46F75EB360CBDD37A6A6206FD16289C8880A2985F53D395478762EA56F46367391DA8c4B" TargetMode="External"/><Relationship Id="rId22" Type="http://schemas.openxmlformats.org/officeDocument/2006/relationships/hyperlink" Target="consultantplus://offline/ref=4D26430A4B9DA148C141804F3F1020CF786D80A57F9B4C1F5621B9DBA81779C8CE0FAF3227519F4CP1d4H" TargetMode="External"/><Relationship Id="rId27" Type="http://schemas.openxmlformats.org/officeDocument/2006/relationships/hyperlink" Target="http://xn--d1acodnbcsepw2g.xn--p1ai/index.php?option=com_content&amp;view=category&amp;id=18:2013-04-24-15-07-37&amp;Item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10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И. Харитонова</dc:creator>
  <cp:keywords/>
  <dc:description/>
  <cp:lastModifiedBy>Юлия А. Белецкая</cp:lastModifiedBy>
  <cp:revision>30</cp:revision>
  <cp:lastPrinted>2020-01-15T04:07:00Z</cp:lastPrinted>
  <dcterms:created xsi:type="dcterms:W3CDTF">2019-01-11T04:38:00Z</dcterms:created>
  <dcterms:modified xsi:type="dcterms:W3CDTF">2020-02-05T05:48:00Z</dcterms:modified>
</cp:coreProperties>
</file>