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jc w:val="right"/>
        <w:widowControl w:val="off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</w:rPr>
        <w:t xml:space="preserve">Утверждено</w:t>
      </w:r>
      <w:r>
        <w:rPr>
          <w:b w:val="0"/>
          <w:bCs w:val="0"/>
          <w:sz w:val="20"/>
          <w:szCs w:val="20"/>
          <w:highlight w:val="none"/>
        </w:rPr>
      </w:r>
    </w:p>
    <w:p>
      <w:pPr>
        <w:pStyle w:val="865"/>
        <w:jc w:val="right"/>
        <w:widowControl w:val="off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  <w:highlight w:val="none"/>
        </w:rPr>
        <w:t xml:space="preserve">решением Собрания</w:t>
      </w:r>
      <w:r>
        <w:rPr>
          <w:b w:val="0"/>
          <w:bCs w:val="0"/>
          <w:sz w:val="20"/>
          <w:szCs w:val="20"/>
          <w:highlight w:val="none"/>
        </w:rPr>
      </w:r>
    </w:p>
    <w:p>
      <w:pPr>
        <w:pStyle w:val="865"/>
        <w:jc w:val="right"/>
        <w:widowControl w:val="off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  <w:highlight w:val="none"/>
        </w:rPr>
        <w:t xml:space="preserve">муниципального образования</w:t>
      </w:r>
      <w:r>
        <w:rPr>
          <w:b w:val="0"/>
          <w:bCs w:val="0"/>
          <w:sz w:val="20"/>
          <w:szCs w:val="20"/>
          <w:highlight w:val="none"/>
        </w:rPr>
      </w:r>
    </w:p>
    <w:p>
      <w:pPr>
        <w:pStyle w:val="865"/>
        <w:jc w:val="right"/>
        <w:widowControl w:val="off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  <w:highlight w:val="none"/>
        </w:rPr>
        <w:t xml:space="preserve">Ногликский муниципальный округ</w:t>
      </w:r>
      <w:r>
        <w:rPr>
          <w:b w:val="0"/>
          <w:bCs w:val="0"/>
          <w:sz w:val="20"/>
          <w:szCs w:val="20"/>
          <w:highlight w:val="none"/>
        </w:rPr>
      </w:r>
    </w:p>
    <w:p>
      <w:pPr>
        <w:pStyle w:val="865"/>
        <w:jc w:val="right"/>
        <w:widowControl w:val="off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  <w:highlight w:val="none"/>
        </w:rPr>
        <w:t xml:space="preserve">Сахалинской области</w:t>
      </w:r>
      <w:r>
        <w:rPr>
          <w:b w:val="0"/>
          <w:bCs w:val="0"/>
          <w:sz w:val="20"/>
          <w:szCs w:val="20"/>
          <w:highlight w:val="none"/>
        </w:rPr>
      </w:r>
    </w:p>
    <w:p>
      <w:pPr>
        <w:pStyle w:val="865"/>
        <w:jc w:val="right"/>
        <w:widowControl w:val="off"/>
        <w:rPr>
          <w:b/>
          <w:bCs/>
          <w:sz w:val="28"/>
          <w:szCs w:val="28"/>
        </w:rPr>
      </w:pPr>
      <w:r>
        <w:rPr>
          <w:b w:val="0"/>
          <w:bCs w:val="0"/>
          <w:sz w:val="20"/>
          <w:szCs w:val="20"/>
          <w:highlight w:val="none"/>
        </w:rPr>
        <w:t xml:space="preserve">от 20.03.2025 № 52</w:t>
      </w:r>
      <w:r>
        <w:rPr>
          <w:b/>
          <w:bCs/>
          <w:sz w:val="28"/>
          <w:highlight w:val="none"/>
        </w:rPr>
      </w:r>
    </w:p>
    <w:p>
      <w:pPr>
        <w:pStyle w:val="877"/>
        <w:ind w:left="0"/>
        <w:jc w:val="left"/>
        <w:spacing w:after="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                         </w:t>
      </w:r>
      <w:r>
        <w:rPr>
          <w:b/>
          <w:bCs/>
          <w:highlight w:val="none"/>
        </w:rPr>
      </w:r>
      <w:r>
        <w:rPr>
          <w:bCs/>
          <w:sz w:val="20"/>
          <w:szCs w:val="20"/>
        </w:rPr>
      </w:r>
    </w:p>
    <w:p>
      <w:pPr>
        <w:pStyle w:val="877"/>
        <w:ind w:left="0"/>
        <w:jc w:val="center"/>
        <w:spacing w:after="0" w:line="240" w:lineRule="auto"/>
        <w:rPr>
          <w:b/>
          <w:bCs/>
          <w:highlight w:val="none"/>
        </w:rPr>
      </w:pPr>
      <w:r>
        <w:rPr>
          <w:b/>
          <w:bCs/>
        </w:rPr>
        <w:t xml:space="preserve">Годовой отчет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77"/>
        <w:ind w:left="0"/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К</w:t>
      </w:r>
      <w:r>
        <w:rPr>
          <w:b/>
          <w:bCs/>
        </w:rPr>
        <w:t xml:space="preserve">онтрольно-счетной палаты муниципального образования </w:t>
      </w:r>
      <w:r>
        <w:rPr>
          <w:b/>
          <w:bCs/>
        </w:rPr>
      </w:r>
      <w:r>
        <w:rPr>
          <w:b/>
          <w:bCs/>
        </w:rPr>
      </w:r>
    </w:p>
    <w:p>
      <w:pPr>
        <w:pStyle w:val="877"/>
        <w:ind w:left="0"/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Ногликский муниципальный округ Сахалинской области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877"/>
        <w:ind w:left="0"/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о  результатах деятельности за</w:t>
      </w:r>
      <w:r>
        <w:rPr>
          <w:b/>
          <w:bCs/>
        </w:rPr>
        <w:t xml:space="preserve"> 202</w:t>
      </w:r>
      <w:r>
        <w:rPr>
          <w:b/>
          <w:bCs/>
        </w:rPr>
        <w:t xml:space="preserve">4 год</w:t>
      </w:r>
      <w:r>
        <w:rPr>
          <w:b/>
          <w:bCs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b/>
          <w:bCs/>
        </w:rPr>
      </w:r>
    </w:p>
    <w:p>
      <w:pPr>
        <w:ind w:firstLine="709"/>
        <w:jc w:val="both"/>
        <w:spacing w:line="240" w:lineRule="auto"/>
      </w:pPr>
      <w:r>
        <w:t xml:space="preserve">Годовой отчет о деятельности </w:t>
      </w:r>
      <w:r>
        <w:t xml:space="preserve">К</w:t>
      </w:r>
      <w:r>
        <w:t xml:space="preserve">онтрольно-счетной палаты муниципального образования </w:t>
      </w:r>
      <w:r>
        <w:t xml:space="preserve">Ногликский муниципальный округ Сахалинской области </w:t>
      </w:r>
      <w:r>
        <w:t xml:space="preserve">за</w:t>
      </w:r>
      <w:r>
        <w:t xml:space="preserve"> 202</w:t>
      </w:r>
      <w:r>
        <w:t xml:space="preserve">4 год (далее – Отчет) подготовл</w:t>
      </w:r>
      <w:r>
        <w:t xml:space="preserve">ен в соответстви</w:t>
      </w:r>
      <w:r>
        <w:t xml:space="preserve">и</w:t>
      </w:r>
      <w:r>
        <w:rPr>
          <w:highlight w:val="none"/>
        </w:rPr>
        <w:t xml:space="preserve"> </w:t>
      </w:r>
      <w:r>
        <w:rPr>
          <w:highlight w:val="none"/>
        </w:rPr>
        <w:t xml:space="preserve">с </w:t>
      </w:r>
      <w:r>
        <w:rPr>
          <w:highlight w:val="none"/>
        </w:rPr>
        <w:t xml:space="preserve">Бюджетным кодексом Российской Федерации</w:t>
      </w:r>
      <w:r>
        <w:rPr>
          <w:highlight w:val="none"/>
        </w:rPr>
        <w:t xml:space="preserve">,</w:t>
      </w:r>
      <w:r>
        <w:t xml:space="preserve"> Федеральным законом от 06.10.2003 № 131-ФЗ «Об общих принципах организации</w:t>
      </w:r>
      <w:r>
        <w:t xml:space="preserve"> органов местного самоуправления в Российской Федерации», Федеральным законом от 07.02.2011 № 6-ФЗ «Об общих принципах организации деятельности контрольно-счетных органов субъектов Российской Федерации, федеральных территорий и муниципальных образований», </w:t>
      </w:r>
      <w:r>
        <w:t xml:space="preserve">Положением «О</w:t>
      </w:r>
      <w:r>
        <w:t xml:space="preserve"> Контрольно-счетной палате муниципального образования Ногликский муниципальный округ Сахалинской области, утвержденным решением Собрания муниципального образования «Городской округ Ногликский» от 13.12.2024 № 39.</w:t>
      </w:r>
      <w:r>
        <w:t xml:space="preserve">  Отчет содержит общую характеристику результатов проведенных контрольных и экспертно-аналитических мероприятий, основные выводы, рекомендации и предложения.</w:t>
      </w:r>
      <w:r/>
    </w:p>
    <w:p>
      <w:pPr>
        <w:ind w:firstLine="709"/>
        <w:jc w:val="both"/>
        <w:spacing w:line="240" w:lineRule="auto"/>
      </w:pPr>
      <w:r>
        <w:t xml:space="preserve">Контрольно-счетн</w:t>
      </w:r>
      <w:r>
        <w:t xml:space="preserve">ая палата муниципального образования Ногликский муниципальный округ Сахалинской области (далее – Контрольно-счетная палата)  представляет собой независимый орган внешнего муниципального финансового контроля, является юридическим лицом. </w:t>
      </w:r>
      <w:r/>
    </w:p>
    <w:p>
      <w:pPr>
        <w:ind w:firstLine="709"/>
        <w:jc w:val="both"/>
        <w:spacing w:line="240" w:lineRule="auto"/>
      </w:pPr>
      <w:r>
        <w:t xml:space="preserve">Полномочия Контрольно-счетной палаты распространяются на вопросы соблюдения субъектами бюджетной системы финансово-бюджетного законодательства, своевре</w:t>
      </w:r>
      <w:r>
        <w:t xml:space="preserve">менности и полноты наполнения и использования муниципальных ресурсов, эффективности и законности управления муниципальной собственностью и целевого использования средств местного бюджета, соблюдения правил ведения бюджетного учета и отчетности, осуществлен</w:t>
      </w:r>
      <w:r>
        <w:t xml:space="preserve">ия аудита в сфере закупок. При проведении внешнего муниципального финансового контроля  объектами аудита (контроля) для Контрольно-счетной палаты выступают органы местного самоуправления, муниципальные учреждения и унитарные предприя</w:t>
      </w:r>
      <w:r>
        <w:t xml:space="preserve">тия, а также иные организации, использующие муниципальное имущество, получающие субсидии за счет местного бюджета. Внешний муниципальный финансовый контроль осуществлялся в форме контрольных и экспертно-аналитических мероприятий. </w:t>
      </w:r>
      <w:r>
        <w:t xml:space="preserve"> </w:t>
      </w:r>
      <w:r>
        <w:t xml:space="preserve">  Неукоснительно соблюдаются </w:t>
      </w:r>
      <w:r>
        <w:t xml:space="preserve"> </w:t>
      </w:r>
      <w:r>
        <w:t xml:space="preserve">принципы законности, объективности, эффективности, независимости и гласности.</w:t>
      </w:r>
      <w:r>
        <w:t xml:space="preserve"> </w:t>
      </w:r>
      <w:r/>
    </w:p>
    <w:p>
      <w:pPr>
        <w:ind w:firstLine="709"/>
        <w:jc w:val="both"/>
        <w:spacing w:line="240" w:lineRule="auto"/>
      </w:pPr>
      <w:r>
        <w:t xml:space="preserve">Осуществляет контрольную и экспертно-аналитическую деятельность в соответствии с </w:t>
      </w:r>
      <w:r>
        <w:t xml:space="preserve">Конституцией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, </w:t>
      </w:r>
      <w:r>
        <w:t xml:space="preserve">Положением </w:t>
      </w:r>
      <w:r>
        <w:t xml:space="preserve">о</w:t>
      </w:r>
      <w:r>
        <w:t xml:space="preserve"> </w:t>
      </w:r>
      <w:r>
        <w:t xml:space="preserve">К</w:t>
      </w:r>
      <w:r>
        <w:t xml:space="preserve">онтрольно </w:t>
      </w:r>
      <w:r>
        <w:t xml:space="preserve">-</w:t>
      </w:r>
      <w:r>
        <w:t xml:space="preserve"> </w:t>
      </w:r>
      <w:r>
        <w:t xml:space="preserve">счетной палате, </w:t>
      </w:r>
      <w:r>
        <w:t xml:space="preserve">С</w:t>
      </w:r>
      <w:r>
        <w:t xml:space="preserve">тандартами внешнего </w:t>
      </w:r>
      <w:r>
        <w:t xml:space="preserve">муниципального</w:t>
      </w:r>
      <w:r>
        <w:t xml:space="preserve"> финансового контроля, </w:t>
      </w:r>
      <w:r>
        <w:t xml:space="preserve">иными законодательными актами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, Сахалинской области</w:t>
      </w:r>
      <w:r>
        <w:t xml:space="preserve"> </w:t>
      </w:r>
      <w:r>
        <w:t xml:space="preserve">и</w:t>
      </w:r>
      <w:r>
        <w:rPr>
          <w:sz w:val="28"/>
          <w:szCs w:val="28"/>
        </w:rPr>
        <w:t xml:space="preserve"> </w:t>
      </w:r>
      <w:r>
        <w:t xml:space="preserve">утвержденным планом работы</w:t>
      </w:r>
      <w:r>
        <w:t xml:space="preserve"> Контрольно-счетной палаты</w:t>
      </w:r>
      <w:r>
        <w:t xml:space="preserve">.</w:t>
      </w:r>
      <w:r>
        <w:t xml:space="preserve"> </w:t>
      </w:r>
      <w:r/>
    </w:p>
    <w:p>
      <w:pPr>
        <w:jc w:val="both"/>
        <w:spacing w:line="240" w:lineRule="auto"/>
      </w:pPr>
      <w:r>
        <w:t xml:space="preserve">Годовой план работы </w:t>
      </w:r>
      <w:r>
        <w:t xml:space="preserve">на 202</w:t>
      </w:r>
      <w:r>
        <w:t xml:space="preserve">4 год сформирован и утверж</w:t>
      </w:r>
      <w:r>
        <w:t xml:space="preserve">ден </w:t>
      </w:r>
      <w:r>
        <w:t xml:space="preserve">22</w:t>
      </w:r>
      <w:r>
        <w:t xml:space="preserve"> декабря 20</w:t>
      </w:r>
      <w:r>
        <w:t xml:space="preserve">2</w:t>
      </w:r>
      <w:r>
        <w:t xml:space="preserve">3 года.</w:t>
      </w:r>
      <w:r>
        <w:t xml:space="preserve"> При формировании плана работы</w:t>
      </w:r>
      <w:r>
        <w:t xml:space="preserve"> учитывались возможные предложения Собрания муниципального образования «Городской округ Ногликский», главы администрации муниципального образования,  </w:t>
      </w:r>
      <w:r>
        <w:t xml:space="preserve">обращения Контрольно-счетной палаты Сахалинской области. Учитывалась</w:t>
      </w:r>
      <w:r>
        <w:t xml:space="preserve"> необходимость охвата объекта контроля различной отраслевой направленности, сроки проведения и объем проверяемых средств, результаты ранее проведенных контрольных и экспертно-аналитических мероприятий, штатная численность Контрольно-счетной палаты. Планом </w:t>
      </w:r>
      <w:r>
        <w:t xml:space="preserve">работы в 2024 году </w:t>
      </w:r>
      <w:r>
        <w:t xml:space="preserve">предусмотрено пр</w:t>
      </w:r>
      <w:r>
        <w:t xml:space="preserve">оведение контрольных мероприятий, в том числе:  внешня проверка</w:t>
      </w:r>
      <w:r>
        <w:t xml:space="preserve"> годовых отчетов главных администраторов бюджетных средств, годового консолидированного отчета об исполнении бюджета муниципального образования «Городской округ Ногликский», </w:t>
      </w:r>
      <w:r>
        <w:t xml:space="preserve">четыре контрольных мероприятия по отраслевой направленности. Запланировано проведение экспе</w:t>
      </w:r>
      <w:r>
        <w:t xml:space="preserve">ртно-аналитических мероприятий в рамках осуществления текущего финансового контроля отчетов</w:t>
      </w:r>
      <w:r>
        <w:t xml:space="preserve"> об исполнении бюджета муниципального образования «Городской округ Ногликский» за 1 квартал, 1 полугодие, 9 месяцев. Осуществление предварительного контроля проекта местного бюджета на текущий год и на плановый период. Экспертно-аналитических мероприятий </w:t>
      </w:r>
      <w:r>
        <w:t xml:space="preserve">финансово-экономических экспертиз проектов м</w:t>
      </w:r>
      <w:r>
        <w:t xml:space="preserve">униципальных правовых актов (включая обоснованность финансово-экономических обоснований) в части, касающихся расходных обязательств муниципального образования «Городской округ Ногликский», муниципальных программ (количество определено по мере поступления).</w:t>
      </w:r>
      <w:r>
        <w:t xml:space="preserve"> </w:t>
      </w:r>
      <w:r/>
    </w:p>
    <w:p>
      <w:pPr>
        <w:jc w:val="both"/>
        <w:spacing w:line="240" w:lineRule="auto"/>
      </w:pPr>
      <w:r>
        <w:t xml:space="preserve">Планом работы </w:t>
      </w:r>
      <w:r>
        <w:t xml:space="preserve">на 202</w:t>
      </w:r>
      <w:r>
        <w:t xml:space="preserve">4 год </w:t>
      </w:r>
      <w:r>
        <w:t xml:space="preserve">К</w:t>
      </w:r>
      <w:r>
        <w:t xml:space="preserve">онтрольно-счетной палат</w:t>
      </w:r>
      <w:r>
        <w:t xml:space="preserve">ой</w:t>
      </w:r>
      <w:r>
        <w:t xml:space="preserve"> запланированы организационные, информационные и иные мероприятия, правовое методологическое обеспечение, мероприя</w:t>
      </w:r>
      <w:r>
        <w:t xml:space="preserve">тия по противодействию коррупции.</w:t>
      </w:r>
      <w:r/>
    </w:p>
    <w:p>
      <w:pPr>
        <w:ind w:firstLine="709"/>
        <w:jc w:val="both"/>
        <w:spacing w:line="240" w:lineRule="auto"/>
      </w:pPr>
      <w:r>
        <w:t xml:space="preserve"> Основные показатели деятельности </w:t>
      </w:r>
      <w:r>
        <w:t xml:space="preserve">К</w:t>
      </w:r>
      <w:r>
        <w:t xml:space="preserve">онтрольно-счетной палаты за 202</w:t>
      </w:r>
      <w:r>
        <w:t xml:space="preserve">4 год представлены </w:t>
      </w:r>
      <w:r>
        <w:t xml:space="preserve">в приложении № 1</w:t>
      </w:r>
      <w:r>
        <w:t xml:space="preserve"> к настоящему Отчету.</w:t>
      </w:r>
      <w:r/>
    </w:p>
    <w:p>
      <w:pPr>
        <w:ind w:firstLine="709"/>
        <w:jc w:val="both"/>
        <w:spacing w:line="240" w:lineRule="auto"/>
      </w:pPr>
      <w:r>
        <w:t xml:space="preserve">За истекший</w:t>
      </w:r>
      <w:r>
        <w:t xml:space="preserve"> 202</w:t>
      </w:r>
      <w:r>
        <w:t xml:space="preserve">4 год </w:t>
      </w:r>
      <w:r>
        <w:t xml:space="preserve">К</w:t>
      </w:r>
      <w:r>
        <w:t xml:space="preserve">онтрол</w:t>
      </w:r>
      <w:r>
        <w:t xml:space="preserve">ь</w:t>
      </w:r>
      <w:r>
        <w:t xml:space="preserve">но-счетной палатой проведено </w:t>
      </w:r>
      <w:r>
        <w:t xml:space="preserve">79 мероприяти</w:t>
      </w:r>
      <w:r>
        <w:t xml:space="preserve">й</w:t>
      </w:r>
      <w:r>
        <w:t xml:space="preserve">, что </w:t>
      </w:r>
      <w:r>
        <w:t xml:space="preserve">на </w:t>
      </w:r>
      <w:r>
        <w:t xml:space="preserve">22 </w:t>
      </w:r>
      <w:r>
        <w:t xml:space="preserve">мероприяти</w:t>
      </w:r>
      <w:r>
        <w:t xml:space="preserve">я</w:t>
      </w:r>
      <w:r>
        <w:t xml:space="preserve"> </w:t>
      </w:r>
      <w:r>
        <w:t xml:space="preserve">меньше в сравнении с 202</w:t>
      </w:r>
      <w:r>
        <w:t xml:space="preserve">3 годом</w:t>
      </w:r>
      <w:r>
        <w:t xml:space="preserve">.</w:t>
      </w:r>
      <w:r/>
    </w:p>
    <w:tbl>
      <w:tblPr>
        <w:tblStyle w:val="87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879"/>
        <w:gridCol w:w="992"/>
        <w:gridCol w:w="851"/>
        <w:gridCol w:w="850"/>
        <w:gridCol w:w="2126"/>
      </w:tblGrid>
      <w:tr>
        <w:trPr/>
        <w:tc>
          <w:tcPr>
            <w:tcW w:w="3941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мероприятия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357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Количество, (ед.)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Относительное значение в сравнении с 202</w:t>
            </w:r>
            <w:r>
              <w:rPr>
                <w:sz w:val="20"/>
                <w:szCs w:val="20"/>
              </w:rPr>
              <w:t xml:space="preserve">2 годом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в том числе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Контрольных</w:t>
            </w:r>
            <w:r>
              <w:rPr>
                <w:sz w:val="20"/>
                <w:szCs w:val="20"/>
              </w:rPr>
              <w:t xml:space="preserve">, из них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Проверки использования средств местного бюджета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Внешняя проверка годовой отчетности, в том числе: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Внешняя проверка годового консолидированного отчета об исполнении бюджета муниципального образования «Городской округ Ногликский»;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проверка годовой бюджетной отчетности главных администраторов бюджетных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Экспертно-аналитических</w:t>
            </w:r>
            <w:r>
              <w:rPr>
                <w:sz w:val="20"/>
                <w:szCs w:val="20"/>
              </w:rPr>
              <w:t xml:space="preserve">, из них: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правовые акты, касающиеся расходные обязательств местного 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7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программы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1"/>
        <w:jc w:val="both"/>
        <w:spacing w:line="240" w:lineRule="auto"/>
        <w:rPr>
          <w:highlight w:val="none"/>
        </w:rPr>
      </w:pPr>
      <w:r>
        <w:t xml:space="preserve">В отчетном периоде</w:t>
      </w:r>
      <w:r>
        <w:t xml:space="preserve"> </w:t>
      </w:r>
      <w:r>
        <w:t xml:space="preserve">уменьшилось</w:t>
      </w:r>
      <w:r>
        <w:t xml:space="preserve"> </w:t>
      </w:r>
      <w:r>
        <w:t xml:space="preserve">количеств</w:t>
      </w:r>
      <w:r>
        <w:t xml:space="preserve">о</w:t>
      </w:r>
      <w:r>
        <w:t xml:space="preserve"> выявл</w:t>
      </w:r>
      <w:r>
        <w:t xml:space="preserve">енных финансовых нарушений. </w:t>
      </w:r>
      <w:r>
        <w:t xml:space="preserve">Общий объем выявленных нарушений</w:t>
      </w:r>
      <w:r>
        <w:t xml:space="preserve"> </w:t>
      </w:r>
      <w:r>
        <w:t xml:space="preserve">75,1</w:t>
      </w:r>
      <w:r>
        <w:t xml:space="preserve"> млн. рублей. </w:t>
      </w:r>
      <w:r>
        <w:t xml:space="preserve">Уст</w:t>
      </w:r>
      <w:r>
        <w:t xml:space="preserve">ановленные нарушения рассмотрены, приняты меры по их устранению.</w:t>
      </w:r>
      <w:r>
        <w:t xml:space="preserve"> При этом Контрольно-с</w:t>
      </w:r>
      <w:r>
        <w:t xml:space="preserve">четная палата отмечает, что установлены нарушения при формировании форм отчетности, использование </w:t>
      </w:r>
      <w:r>
        <w:t xml:space="preserve">форм не установленного образца, их заполнения в нарушении требований законодательства. </w:t>
      </w:r>
      <w:r>
        <w:rPr>
          <w:highlight w:val="none"/>
        </w:rPr>
        <w:t xml:space="preserve">Таких нарушений установлено в количестве 26 ед.</w:t>
      </w:r>
      <w:r>
        <w:rPr>
          <w:highlight w:val="none"/>
        </w:rPr>
      </w:r>
      <w:r>
        <w:rPr>
          <w:highlight w:val="none"/>
        </w:rPr>
      </w:r>
    </w:p>
    <w:tbl>
      <w:tblPr>
        <w:tblW w:w="96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1984"/>
        <w:gridCol w:w="1701"/>
        <w:gridCol w:w="2117"/>
      </w:tblGrid>
      <w:tr>
        <w:trPr>
          <w:trHeight w:val="565"/>
        </w:trPr>
        <w:tc>
          <w:tcPr>
            <w:shd w:val="clear" w:color="auto" w:fill="auto"/>
            <w:tcW w:w="3832" w:type="dxa"/>
            <w:vAlign w:val="center"/>
            <w:textDirection w:val="lrTb"/>
            <w:noWrap w:val="false"/>
          </w:tcPr>
          <w:p>
            <w:pPr>
              <w:ind w:left="-108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Наименование показателя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</w:t>
            </w: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 год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</w:t>
            </w:r>
            <w:r>
              <w:rPr>
                <w:bCs/>
                <w:sz w:val="20"/>
                <w:szCs w:val="20"/>
              </w:rPr>
              <w:t xml:space="preserve">3 год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</w:t>
            </w:r>
            <w:r>
              <w:rPr>
                <w:bCs/>
                <w:sz w:val="20"/>
                <w:szCs w:val="20"/>
              </w:rPr>
              <w:t xml:space="preserve">4 год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565"/>
        </w:trPr>
        <w:tc>
          <w:tcPr>
            <w:shd w:val="clear" w:color="auto" w:fill="auto"/>
            <w:tcW w:w="383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Выявлено нарушений     (млн. </w:t>
            </w:r>
            <w:r>
              <w:rPr>
                <w:sz w:val="20"/>
                <w:szCs w:val="20"/>
              </w:rPr>
              <w:t xml:space="preserve">рублей)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928,8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3117,8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92"/>
        </w:trPr>
        <w:tc>
          <w:tcPr>
            <w:shd w:val="clear" w:color="auto" w:fill="auto"/>
            <w:tcW w:w="383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Устранено нарушений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(млн.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рублей)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927,5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3117,8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65"/>
        </w:trPr>
        <w:tc>
          <w:tcPr>
            <w:shd w:val="clear" w:color="auto" w:fill="auto"/>
            <w:tcW w:w="383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Охвачено объектов (ед.)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202</w:t>
      </w:r>
      <w:r>
        <w:rPr>
          <w:sz w:val="24"/>
          <w:szCs w:val="24"/>
        </w:rPr>
        <w:t xml:space="preserve">4 году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онтрольно-счетной </w:t>
      </w:r>
      <w:r>
        <w:rPr>
          <w:sz w:val="24"/>
          <w:szCs w:val="24"/>
        </w:rPr>
        <w:t xml:space="preserve">палатой проведено </w:t>
      </w:r>
      <w:r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контрольных мероприятий. И</w:t>
      </w:r>
      <w:r>
        <w:rPr>
          <w:sz w:val="24"/>
          <w:szCs w:val="24"/>
        </w:rPr>
        <w:t xml:space="preserve">з них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 (документальных и камеральных)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в рамках внешней проверки годового отчета об исполнении бюджета муниципального образования «Гор</w:t>
      </w:r>
      <w:r>
        <w:rPr>
          <w:sz w:val="24"/>
          <w:szCs w:val="24"/>
        </w:rPr>
        <w:t xml:space="preserve">одской округ Ногликский» за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3 год. </w:t>
      </w:r>
      <w:r>
        <w:rPr>
          <w:sz w:val="24"/>
          <w:szCs w:val="24"/>
        </w:rPr>
      </w:r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Подготовлено три</w:t>
      </w:r>
      <w:r>
        <w:rPr>
          <w:sz w:val="24"/>
          <w:szCs w:val="24"/>
        </w:rPr>
        <w:t xml:space="preserve"> положительных заключения по анализу бюджетного процесса</w:t>
      </w:r>
      <w:r>
        <w:rPr>
          <w:sz w:val="24"/>
          <w:szCs w:val="24"/>
        </w:rPr>
        <w:t xml:space="preserve"> в текущем периоде 2024 года, в том числе по </w:t>
      </w:r>
      <w:r>
        <w:rPr>
          <w:sz w:val="24"/>
          <w:szCs w:val="24"/>
        </w:rPr>
        <w:t xml:space="preserve">отчетам об исполнении</w:t>
      </w:r>
      <w:r>
        <w:rPr>
          <w:sz w:val="24"/>
          <w:szCs w:val="24"/>
        </w:rPr>
        <w:t xml:space="preserve"> местного</w:t>
      </w:r>
      <w:r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за 202</w:t>
      </w:r>
      <w:r>
        <w:rPr>
          <w:sz w:val="24"/>
          <w:szCs w:val="24"/>
        </w:rPr>
        <w:t xml:space="preserve">4 год</w:t>
      </w:r>
      <w:r>
        <w:rPr>
          <w:sz w:val="24"/>
          <w:szCs w:val="24"/>
        </w:rPr>
        <w:t xml:space="preserve"> в разрезе периодов: </w:t>
      </w:r>
      <w:r>
        <w:rPr>
          <w:sz w:val="24"/>
          <w:szCs w:val="24"/>
        </w:rPr>
        <w:t xml:space="preserve">за 1</w:t>
      </w:r>
      <w:r>
        <w:rPr>
          <w:sz w:val="24"/>
          <w:szCs w:val="24"/>
        </w:rPr>
        <w:t xml:space="preserve"> квартал 202</w:t>
      </w:r>
      <w:r>
        <w:rPr>
          <w:sz w:val="24"/>
          <w:szCs w:val="24"/>
        </w:rPr>
        <w:t xml:space="preserve">4 года, за первое полугодие 202</w:t>
      </w:r>
      <w:r>
        <w:rPr>
          <w:sz w:val="24"/>
          <w:szCs w:val="24"/>
        </w:rPr>
        <w:t xml:space="preserve">4 года, за 9 месяцев 202</w:t>
      </w:r>
      <w:r>
        <w:rPr>
          <w:sz w:val="24"/>
          <w:szCs w:val="24"/>
        </w:rPr>
        <w:t xml:space="preserve">4 года</w:t>
      </w:r>
      <w:r>
        <w:rPr>
          <w:sz w:val="24"/>
          <w:szCs w:val="24"/>
        </w:rPr>
        <w:t xml:space="preserve"> (анализ исполнения местного бюджета)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Проведена внешняя проверка сводной годовой бюджетной отчет</w:t>
      </w:r>
      <w:r>
        <w:rPr>
          <w:sz w:val="24"/>
          <w:szCs w:val="24"/>
        </w:rPr>
        <w:t xml:space="preserve">ности</w:t>
      </w:r>
      <w:r>
        <w:rPr>
          <w:sz w:val="24"/>
          <w:szCs w:val="24"/>
        </w:rPr>
        <w:t xml:space="preserve"> использования средств местного бюджета за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3 год, с оформлением положительного заключения </w:t>
      </w:r>
      <w:r>
        <w:rPr>
          <w:sz w:val="24"/>
          <w:szCs w:val="24"/>
        </w:rPr>
        <w:t xml:space="preserve">контрольного </w:t>
      </w:r>
      <w:r>
        <w:rPr>
          <w:sz w:val="24"/>
          <w:szCs w:val="24"/>
        </w:rPr>
        <w:t xml:space="preserve">мероприятия. </w:t>
      </w:r>
      <w:r>
        <w:rPr>
          <w:sz w:val="24"/>
          <w:szCs w:val="24"/>
        </w:rPr>
      </w:r>
    </w:p>
    <w:p>
      <w:pPr>
        <w:ind w:firstLine="709"/>
        <w:jc w:val="both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Установлено 23 нарушений требований оформления годовой бюджетной отчетности главных администраторов бюджетных средств на бумажном носителе. </w:t>
      </w:r>
      <w:r>
        <w:rPr>
          <w:sz w:val="24"/>
          <w:szCs w:val="24"/>
        </w:rPr>
        <w:t xml:space="preserve">Проведено </w:t>
      </w:r>
      <w:r>
        <w:rPr>
          <w:sz w:val="24"/>
          <w:szCs w:val="24"/>
        </w:rPr>
        <w:t xml:space="preserve">26 экспертно-аналитических 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проекты решений</w:t>
      </w:r>
      <w:r>
        <w:rPr>
          <w:sz w:val="24"/>
          <w:szCs w:val="24"/>
        </w:rPr>
        <w:t xml:space="preserve"> 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муниципального образования «Городской округ Ногликский» по </w:t>
      </w:r>
      <w:r>
        <w:rPr>
          <w:sz w:val="24"/>
          <w:szCs w:val="24"/>
        </w:rPr>
        <w:t xml:space="preserve">внесенным изменениям в </w:t>
      </w:r>
      <w:r>
        <w:rPr>
          <w:sz w:val="24"/>
          <w:szCs w:val="24"/>
        </w:rPr>
        <w:t xml:space="preserve">муниципальны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Установлено 7 замечаний с объемом средств 7755,6 тыс. рублей.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Проведено 39 экспертиз</w:t>
      </w:r>
      <w:r>
        <w:rPr>
          <w:sz w:val="24"/>
          <w:szCs w:val="24"/>
        </w:rPr>
        <w:t xml:space="preserve"> и подготовлены  заключения на </w:t>
      </w:r>
      <w:r>
        <w:rPr>
          <w:sz w:val="24"/>
          <w:szCs w:val="24"/>
        </w:rPr>
        <w:t xml:space="preserve"> проект</w:t>
      </w:r>
      <w:r>
        <w:rPr>
          <w:sz w:val="24"/>
          <w:szCs w:val="24"/>
        </w:rPr>
        <w:t xml:space="preserve">ы правовых актов муниципального образования «Городской о</w:t>
      </w:r>
      <w:r>
        <w:rPr>
          <w:sz w:val="24"/>
          <w:szCs w:val="24"/>
        </w:rPr>
        <w:t xml:space="preserve">круг Ногликский», </w:t>
      </w:r>
      <w:r>
        <w:rPr>
          <w:sz w:val="24"/>
          <w:szCs w:val="24"/>
        </w:rPr>
        <w:t xml:space="preserve">касающихся расходных обязательств, из них: </w:t>
      </w:r>
      <w:r>
        <w:rPr>
          <w:sz w:val="24"/>
          <w:szCs w:val="24"/>
        </w:rPr>
        <w:t xml:space="preserve"> проведены 19 мероприятий по рассмотрению и подготовке заключений по проектам постановлений мэра муниципального образования  «Городской округ Ногл</w:t>
      </w:r>
      <w:r>
        <w:rPr>
          <w:sz w:val="24"/>
          <w:szCs w:val="24"/>
        </w:rPr>
        <w:t xml:space="preserve">икский», 10 мероприятий по рассмотрению и подготовке заключений по проектам постановлений администрации муниципального образования «Городской округ Ногликский». </w:t>
      </w:r>
      <w:r>
        <w:rPr>
          <w:sz w:val="24"/>
          <w:szCs w:val="24"/>
        </w:rPr>
      </w:r>
    </w:p>
    <w:p>
      <w:pPr>
        <w:ind w:firstLine="0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Сформировано 10 положительных </w:t>
      </w:r>
      <w:r>
        <w:rPr>
          <w:sz w:val="24"/>
          <w:szCs w:val="24"/>
        </w:rPr>
        <w:t xml:space="preserve"> заключений экспертно-аналитических мероприятий на проекты решений Собрания муниципального образования «Городской округ Ногликский».</w:t>
      </w:r>
      <w:r>
        <w:rPr>
          <w:sz w:val="24"/>
          <w:szCs w:val="24"/>
        </w:rPr>
      </w:r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Структура объектов, охваченных контрольными мероприятиями, в разрезе отраслевой принадлежности представлена </w:t>
      </w:r>
      <w:r>
        <w:rPr>
          <w:sz w:val="24"/>
          <w:szCs w:val="24"/>
        </w:rPr>
        <w:t xml:space="preserve">в таблице.</w:t>
      </w:r>
      <w:r>
        <w:rPr>
          <w:sz w:val="24"/>
          <w:szCs w:val="24"/>
        </w:rPr>
      </w:r>
    </w:p>
    <w:tbl>
      <w:tblPr>
        <w:tblStyle w:val="87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8"/>
        <w:gridCol w:w="2268"/>
        <w:gridCol w:w="2094"/>
      </w:tblGrid>
      <w:tr>
        <w:trPr/>
        <w:tc>
          <w:tcPr>
            <w:tcW w:w="527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отраслевой принадлежности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проверенных средств/количество объектов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тыс.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общей суммы проверенных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7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27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В сфере развития культуры в муниципальном образовании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31150,7/1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7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числе, Аудит в сфере закупок, соблюдение законодательства.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ФХД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31150,7/1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7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сфере развитие инфраструктуры и благоустройство населенных пунктов в муниципальном образовании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09768,2/1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7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числе, мероприятие на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-Организацию и содержание мест захоронений: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-Прочие мероприятия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109768</w:t>
            </w:r>
            <w:r>
              <w:rPr>
                <w:sz w:val="20"/>
                <w:szCs w:val="20"/>
              </w:rPr>
              <w:t xml:space="preserve">,2/1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7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сфере стимулирование экономической активности в муниципальном образовании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1371</w:t>
            </w:r>
            <w:r>
              <w:rPr>
                <w:sz w:val="20"/>
                <w:szCs w:val="20"/>
              </w:rPr>
              <w:t xml:space="preserve">,1/1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7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В том числе, на мероприятия по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 и проведению выставок, ярмарок товаров и услуг;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1371,1/1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сфере совершенствование системы управления муниципальным имуществом, в том числе: Проверка использования средств местного бюджета, направленных Комитету по управлению муниципальным имуществом муниципального образования «Городской округ Ногликский»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соблюдению Положения о размерах, порядке и условиях предоставления гарантий и компенсаций лицам, проживающим в Ногликском районе и работающим в организациях, финансируемых из бюджета муниципального образования «Ногликский район»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793988,2/1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7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проверка годовой бюджетной отчетности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них, проверка годовой бюджетной отчетности главных распорядителей бюджетных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(справ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чно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3095410,5 доходы 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3383712,8</w:t>
            </w:r>
            <w:r>
              <w:rPr>
                <w:sz w:val="20"/>
                <w:szCs w:val="20"/>
              </w:rPr>
              <w:t xml:space="preserve"> расходы бюджета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9/</w:t>
            </w:r>
            <w:r>
              <w:rPr>
                <w:sz w:val="20"/>
                <w:szCs w:val="20"/>
              </w:rPr>
              <w:t xml:space="preserve">3383712,8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7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2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4313991,0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93"/>
        <w:ind w:left="0" w:firstLine="720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учета и обобщения информации о результатах контрольных и экспертно-аналитических мероприятий используется</w:t>
      </w:r>
      <w:r>
        <w:rPr>
          <w:sz w:val="24"/>
          <w:szCs w:val="24"/>
        </w:rPr>
        <w:t xml:space="preserve"> Классификатор нарушений, выявляемых в ходе внешнего государственного аудита (контроля), одобренного Советом контрольно-счетных органов при Счетной палате РФ (в редакц</w:t>
      </w:r>
      <w:r>
        <w:rPr>
          <w:sz w:val="24"/>
          <w:szCs w:val="24"/>
        </w:rPr>
        <w:t xml:space="preserve">ии от 21 декабря 2021 года)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разрезе групп нарушений, </w:t>
      </w:r>
      <w:r>
        <w:rPr>
          <w:sz w:val="24"/>
          <w:szCs w:val="24"/>
        </w:rPr>
        <w:t xml:space="preserve">в разрезе видов.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240" w:lineRule="auto"/>
      </w:pPr>
      <w:r>
        <w:rPr>
          <w:rStyle w:val="908"/>
          <w:sz w:val="24"/>
          <w:szCs w:val="24"/>
        </w:rPr>
        <w:t xml:space="preserve">К</w:t>
      </w:r>
      <w:r>
        <w:rPr>
          <w:rStyle w:val="908"/>
          <w:sz w:val="24"/>
          <w:szCs w:val="24"/>
        </w:rPr>
        <w:t xml:space="preserve">онтрольными мероприятиями в 202</w:t>
      </w:r>
      <w:r>
        <w:rPr>
          <w:rStyle w:val="908"/>
          <w:sz w:val="24"/>
          <w:szCs w:val="24"/>
        </w:rPr>
        <w:t xml:space="preserve">4 году было охвачено </w:t>
      </w:r>
      <w:r>
        <w:rPr>
          <w:rStyle w:val="908"/>
          <w:sz w:val="24"/>
          <w:szCs w:val="24"/>
        </w:rPr>
        <w:t xml:space="preserve">14 объект</w:t>
      </w:r>
      <w:r>
        <w:rPr>
          <w:rStyle w:val="908"/>
          <w:sz w:val="24"/>
          <w:szCs w:val="24"/>
        </w:rPr>
        <w:t xml:space="preserve">ов проверки</w:t>
      </w:r>
      <w:r>
        <w:t xml:space="preserve"> и сформировано 4 акта, 10 заключений. Объем провер</w:t>
      </w:r>
      <w:r>
        <w:t xml:space="preserve">енных средств составил </w:t>
      </w:r>
      <w:r>
        <w:t xml:space="preserve">4313991,0</w:t>
      </w:r>
      <w:r>
        <w:t xml:space="preserve"> </w:t>
      </w:r>
      <w:r>
        <w:t xml:space="preserve">тыс. рублей. П</w:t>
      </w:r>
      <w:r>
        <w:t xml:space="preserve">роверены </w:t>
      </w:r>
      <w:r>
        <w:t xml:space="preserve">локальные нормативные акты, </w:t>
      </w:r>
      <w:r>
        <w:t xml:space="preserve">контракты, соглашения, договора, первичные бухгалтерские документы, бюджетная отчетность и другие формы документов. Выявлено нарушений и недостатков в финансово-бюджетной сфере на общую сумму </w:t>
      </w:r>
      <w:r>
        <w:rPr>
          <w:rStyle w:val="908"/>
        </w:rPr>
        <w:t xml:space="preserve">75,1</w:t>
      </w:r>
      <w:r>
        <w:rPr>
          <w:rStyle w:val="908"/>
        </w:rPr>
        <w:t xml:space="preserve"> </w:t>
      </w:r>
      <w:r>
        <w:t xml:space="preserve">тыс. рублей (или ~</w:t>
      </w:r>
      <w:r>
        <w:t xml:space="preserve"> </w:t>
      </w:r>
      <w:r>
        <w:t xml:space="preserve">0,002 % от проверенных средств), в том числе:</w:t>
      </w:r>
      <w:r/>
    </w:p>
    <w:p>
      <w:pPr>
        <w:ind w:firstLine="0"/>
        <w:jc w:val="both"/>
        <w:spacing w:line="240" w:lineRule="auto"/>
        <w:rPr>
          <w:color w:val="000000"/>
        </w:rPr>
      </w:pPr>
      <w:r>
        <w:t xml:space="preserve">а) </w:t>
      </w:r>
      <w:r>
        <w:rPr>
          <w:rStyle w:val="908"/>
        </w:rPr>
        <w:t xml:space="preserve"> </w:t>
      </w:r>
      <w:r>
        <w:rPr>
          <w:color w:val="000000"/>
        </w:rPr>
        <w:t xml:space="preserve">нарушения при формировании и исполнении бюджета введения 985,0 тыс. рублей; </w:t>
      </w:r>
      <w:r>
        <w:rPr>
          <w:color w:val="000000"/>
        </w:rPr>
      </w:r>
      <w:r>
        <w:rPr>
          <w:color w:val="000000"/>
        </w:rPr>
      </w:r>
    </w:p>
    <w:p>
      <w:pPr>
        <w:ind w:firstLine="0"/>
        <w:jc w:val="both"/>
        <w:spacing w:line="240" w:lineRule="auto"/>
        <w:rPr>
          <w:sz w:val="24"/>
          <w:szCs w:val="24"/>
        </w:rPr>
      </w:pPr>
      <w:r>
        <w:rPr>
          <w:color w:val="000000"/>
        </w:rPr>
        <w:t xml:space="preserve">б)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</w:rPr>
        <w:t xml:space="preserve">рочие нарушения, связанные с исполнением договоров. Недостаточность осуществление внутреннего контроля при осуществлении кассового исполнения местного бюджета</w:t>
      </w:r>
      <w:r>
        <w:rPr>
          <w:rStyle w:val="908"/>
          <w:sz w:val="24"/>
          <w:szCs w:val="24"/>
        </w:rPr>
        <w:t xml:space="preserve"> – </w:t>
      </w:r>
      <w:r>
        <w:rPr>
          <w:rStyle w:val="908"/>
          <w:sz w:val="24"/>
          <w:szCs w:val="24"/>
        </w:rPr>
        <w:t xml:space="preserve">74160,0</w:t>
      </w:r>
      <w:r>
        <w:rPr>
          <w:rStyle w:val="908"/>
          <w:sz w:val="24"/>
          <w:szCs w:val="24"/>
        </w:rPr>
        <w:t xml:space="preserve"> тыс. рублей </w:t>
      </w:r>
      <w:r>
        <w:rPr>
          <w:sz w:val="24"/>
          <w:szCs w:val="24"/>
        </w:rPr>
        <w:t xml:space="preserve">(9</w:t>
      </w:r>
      <w:r>
        <w:rPr>
          <w:sz w:val="24"/>
          <w:szCs w:val="24"/>
        </w:rPr>
        <w:t xml:space="preserve">8,7</w:t>
      </w:r>
      <w:r>
        <w:rPr>
          <w:sz w:val="24"/>
          <w:szCs w:val="24"/>
        </w:rPr>
        <w:t xml:space="preserve"> % от общей суммы нарушений)</w:t>
      </w:r>
      <w:r>
        <w:rPr>
          <w:rStyle w:val="908"/>
          <w:sz w:val="24"/>
          <w:szCs w:val="24"/>
        </w:rPr>
        <w:t xml:space="preserve">. Установлены нарушения формирования форм бюджетной отчетности на бумажном носителе в количестве 23 нарушений.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240" w:lineRule="auto"/>
      </w:pPr>
      <w:r>
        <w:t xml:space="preserve">           </w:t>
      </w:r>
      <w:r>
        <w:t xml:space="preserve">Структура выявленных нарушений в ходе контрольной деятельности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87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4819"/>
        <w:gridCol w:w="2123"/>
        <w:gridCol w:w="2097"/>
      </w:tblGrid>
      <w:tr>
        <w:trPr/>
        <w:tc>
          <w:tcPr>
            <w:tcW w:w="60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нарушения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Объем, в тыс. рублей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общей суммы нарушений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нарушения при формировании и исполнении бюджета /исполнение доведенных бюджетных ассигнований/</w:t>
            </w:r>
            <w:r>
              <w:rPr>
                <w:sz w:val="20"/>
                <w:szCs w:val="20"/>
              </w:rPr>
            </w:r>
          </w:p>
        </w:tc>
        <w:tc>
          <w:tcPr>
            <w:tcW w:w="212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985,0</w:t>
            </w:r>
            <w:r>
              <w:rPr>
                <w:sz w:val="20"/>
                <w:szCs w:val="20"/>
              </w:rPr>
            </w:r>
          </w:p>
        </w:tc>
        <w:tc>
          <w:tcPr>
            <w:tcW w:w="20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</w:t>
            </w:r>
            <w:r>
              <w:rPr>
                <w:sz w:val="20"/>
                <w:szCs w:val="20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нарушения осуществления внутреннего финансового контроля, бухгалтерского учета / неэффективное использование средств</w:t>
            </w:r>
            <w:r>
              <w:rPr>
                <w:sz w:val="20"/>
                <w:szCs w:val="20"/>
              </w:rPr>
            </w:r>
          </w:p>
        </w:tc>
        <w:tc>
          <w:tcPr>
            <w:tcW w:w="212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985,0</w:t>
            </w:r>
            <w:r>
              <w:rPr>
                <w:sz w:val="20"/>
                <w:szCs w:val="20"/>
              </w:rPr>
            </w:r>
          </w:p>
        </w:tc>
        <w:tc>
          <w:tcPr>
            <w:tcW w:w="20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нарушения, связанные с исполнением договоров. Недостаточность осуществление внутреннего контроля при осуществлении кассового исполнения местного бюджета</w:t>
            </w:r>
            <w:r>
              <w:rPr>
                <w:sz w:val="20"/>
                <w:szCs w:val="20"/>
              </w:rPr>
            </w:r>
          </w:p>
        </w:tc>
        <w:tc>
          <w:tcPr>
            <w:tcW w:w="212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74160,0</w:t>
            </w:r>
            <w:r>
              <w:rPr>
                <w:sz w:val="20"/>
                <w:szCs w:val="20"/>
              </w:rPr>
            </w:r>
          </w:p>
        </w:tc>
        <w:tc>
          <w:tcPr>
            <w:tcW w:w="20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8,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541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W w:w="212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75145,0</w:t>
            </w:r>
            <w:r>
              <w:rPr>
                <w:sz w:val="20"/>
                <w:szCs w:val="20"/>
              </w:rPr>
            </w:r>
          </w:p>
        </w:tc>
        <w:tc>
          <w:tcPr>
            <w:tcW w:w="20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8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</w:t>
      </w:r>
      <w:r>
        <w:rPr>
          <w:sz w:val="24"/>
          <w:szCs w:val="24"/>
        </w:rPr>
        <w:t xml:space="preserve">полномочий по выявлению, предупреждению и устранению выявленных нарушений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проведенных мероприятий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онтрольно-счетной палатой, должностным лицам проверяемых органов местного самоуправл</w:t>
      </w:r>
      <w:r>
        <w:rPr>
          <w:sz w:val="24"/>
          <w:szCs w:val="24"/>
        </w:rPr>
        <w:t xml:space="preserve">ения и учреждений, направлено </w:t>
      </w:r>
      <w:r>
        <w:rPr>
          <w:sz w:val="24"/>
          <w:szCs w:val="24"/>
        </w:rPr>
        <w:t xml:space="preserve">1 представление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которым</w:t>
      </w:r>
      <w:r>
        <w:rPr>
          <w:sz w:val="24"/>
          <w:szCs w:val="24"/>
        </w:rPr>
        <w:t xml:space="preserve"> внесен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предложения</w:t>
      </w:r>
      <w:r>
        <w:rPr>
          <w:sz w:val="24"/>
          <w:szCs w:val="24"/>
        </w:rPr>
        <w:t xml:space="preserve"> по устранению выявленных нарушений и совершенствованию бюджетного процесса. </w:t>
      </w:r>
      <w:r>
        <w:rPr>
          <w:sz w:val="24"/>
          <w:szCs w:val="24"/>
        </w:rPr>
      </w:r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Информация по исполненным</w:t>
      </w:r>
      <w:r>
        <w:rPr>
          <w:sz w:val="24"/>
          <w:szCs w:val="24"/>
        </w:rPr>
        <w:t xml:space="preserve">, рассмотренным</w:t>
      </w:r>
      <w:r>
        <w:rPr>
          <w:sz w:val="24"/>
          <w:szCs w:val="24"/>
        </w:rPr>
        <w:t xml:space="preserve"> контрольным мероприятиям </w:t>
      </w:r>
      <w:r>
        <w:rPr>
          <w:sz w:val="24"/>
          <w:szCs w:val="24"/>
        </w:rPr>
        <w:t xml:space="preserve">размещена</w:t>
      </w:r>
      <w:r>
        <w:rPr>
          <w:sz w:val="24"/>
          <w:szCs w:val="24"/>
        </w:rPr>
        <w:t xml:space="preserve"> в сети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нтернет</w:t>
      </w:r>
      <w:r>
        <w:rPr>
          <w:sz w:val="24"/>
          <w:szCs w:val="24"/>
        </w:rPr>
        <w:t xml:space="preserve"> на официальном сайте муниципального образования «Городской округ Ногликский»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во вкладке КСП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(https://old.nogliki-adm.ru/documents/ksp/7703/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За прошедший период нецелевого использования средств местного бюджета не установлено.</w:t>
      </w:r>
      <w:r>
        <w:rPr>
          <w:sz w:val="24"/>
          <w:szCs w:val="24"/>
        </w:rPr>
      </w:r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Заключения по экспертно-аналитическим мероприятиям по проверк</w:t>
      </w:r>
      <w:r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консолидированного годового отчета по исполнению местного бюджета за </w:t>
      </w:r>
      <w:r>
        <w:rPr>
          <w:sz w:val="24"/>
          <w:szCs w:val="24"/>
        </w:rPr>
        <w:t xml:space="preserve">2023 год</w:t>
      </w:r>
      <w:r>
        <w:rPr>
          <w:sz w:val="24"/>
          <w:szCs w:val="24"/>
        </w:rPr>
        <w:t xml:space="preserve">, проекта местного бюджета на предстоящий </w:t>
      </w:r>
      <w:r>
        <w:rPr>
          <w:sz w:val="24"/>
          <w:szCs w:val="24"/>
        </w:rPr>
        <w:t xml:space="preserve">период 2025 </w:t>
      </w:r>
      <w:r>
        <w:rPr>
          <w:sz w:val="24"/>
          <w:szCs w:val="24"/>
        </w:rPr>
        <w:t xml:space="preserve">год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и плановый период</w:t>
      </w:r>
      <w:r>
        <w:rPr>
          <w:sz w:val="24"/>
          <w:szCs w:val="24"/>
        </w:rPr>
        <w:t xml:space="preserve"> 2026 и 2027 годов</w:t>
      </w:r>
      <w:r>
        <w:rPr>
          <w:sz w:val="24"/>
          <w:szCs w:val="24"/>
        </w:rPr>
        <w:t xml:space="preserve"> размещены</w:t>
      </w:r>
      <w:r>
        <w:rPr>
          <w:sz w:val="24"/>
          <w:szCs w:val="24"/>
        </w:rPr>
        <w:t xml:space="preserve"> в сети Интернет</w:t>
      </w:r>
      <w:r>
        <w:rPr>
          <w:sz w:val="24"/>
          <w:szCs w:val="24"/>
        </w:rPr>
        <w:t xml:space="preserve"> на официальном сайте муниципального образования «Городской округ Ногликский»</w:t>
      </w:r>
      <w:r>
        <w:rPr>
          <w:sz w:val="24"/>
          <w:szCs w:val="24"/>
        </w:rPr>
        <w:t xml:space="preserve"> во вкладке КСП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https://old.nogliki-adm.ru/documents/ksp/7702/</w:t>
      </w:r>
      <w:r>
        <w:rPr>
          <w:sz w:val="24"/>
          <w:szCs w:val="24"/>
        </w:rPr>
        <w:t xml:space="preserve">). </w:t>
      </w:r>
      <w:r>
        <w:rPr>
          <w:sz w:val="24"/>
          <w:szCs w:val="24"/>
        </w:rPr>
      </w:r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принципом гласности внешнего </w:t>
      </w:r>
      <w:r>
        <w:rPr>
          <w:sz w:val="24"/>
          <w:szCs w:val="24"/>
        </w:rPr>
        <w:t xml:space="preserve"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 контроля в социальной сети «ВКонтакте» создано сообщество «КСП МО «Городской округ Ногликский» для размещения актуальной информации о деятельности КСП.</w:t>
      </w:r>
      <w:r>
        <w:rPr>
          <w:sz w:val="24"/>
          <w:szCs w:val="24"/>
        </w:rPr>
      </w:r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 результатах</w:t>
      </w:r>
      <w:r>
        <w:rPr>
          <w:sz w:val="24"/>
          <w:szCs w:val="24"/>
        </w:rPr>
        <w:t xml:space="preserve"> проведенных контрольных и экспертно-аналитических мероприятиях </w:t>
      </w:r>
      <w:r>
        <w:rPr>
          <w:sz w:val="24"/>
          <w:szCs w:val="24"/>
        </w:rPr>
        <w:t xml:space="preserve">проинформированы</w:t>
      </w:r>
      <w:r>
        <w:rPr>
          <w:sz w:val="24"/>
          <w:szCs w:val="24"/>
        </w:rPr>
        <w:t xml:space="preserve">  председатель Собрания муниципального образования «Городской округ Ногликский», </w:t>
      </w:r>
      <w:r>
        <w:rPr>
          <w:sz w:val="24"/>
          <w:szCs w:val="24"/>
        </w:rPr>
        <w:t xml:space="preserve">мэр муниципального образования «Городской </w:t>
      </w:r>
      <w:r>
        <w:rPr>
          <w:sz w:val="24"/>
          <w:szCs w:val="24"/>
        </w:rPr>
        <w:t xml:space="preserve">округ Ногликский»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Субъектам проверки внешней годовой бюджетной отчетности за прошедший финансовый год направлено 10 заключений</w:t>
      </w:r>
      <w:r>
        <w:rPr>
          <w:sz w:val="24"/>
          <w:szCs w:val="24"/>
        </w:rPr>
        <w:t xml:space="preserve"> о проверках</w:t>
      </w:r>
      <w:r>
        <w:rPr>
          <w:sz w:val="24"/>
          <w:szCs w:val="24"/>
        </w:rPr>
        <w:t xml:space="preserve"> с предложениями </w:t>
      </w:r>
      <w:r>
        <w:rPr>
          <w:sz w:val="24"/>
          <w:szCs w:val="24"/>
        </w:rPr>
        <w:t xml:space="preserve">предупреждения и устранения выявленных нарушений.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202</w:t>
      </w:r>
      <w:r>
        <w:rPr>
          <w:sz w:val="24"/>
          <w:szCs w:val="24"/>
        </w:rPr>
        <w:t xml:space="preserve">4 году в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онтрольно-счетную палату обращения граждан и должностных лиц не поступали. В рамках межведомственного взаимодействия с КСП по Сахалинской обла</w:t>
      </w:r>
      <w:r>
        <w:rPr>
          <w:sz w:val="24"/>
          <w:szCs w:val="24"/>
        </w:rPr>
        <w:t xml:space="preserve">сти подготовлена информация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запросам.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center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Контрольная деятельность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spacing w:line="240" w:lineRule="auto"/>
        <w:rPr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</w:rPr>
        <w:t xml:space="preserve">В </w:t>
      </w:r>
      <w:r>
        <w:rPr>
          <w:b w:val="0"/>
          <w:bCs w:val="0"/>
          <w:sz w:val="24"/>
          <w:szCs w:val="24"/>
        </w:rPr>
        <w:t xml:space="preserve">сфере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муниципальной программы «Развитие культуры в муниципальном образовании «Городской округ Ногликский»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направлению</w:t>
      </w:r>
      <w:r>
        <w:rPr>
          <w:sz w:val="24"/>
          <w:szCs w:val="24"/>
        </w:rPr>
        <w:t xml:space="preserve"> «Аудит в сфере закупок», План ФХД</w:t>
      </w:r>
      <w:r>
        <w:rPr>
          <w:sz w:val="24"/>
          <w:szCs w:val="24"/>
        </w:rPr>
        <w:t xml:space="preserve"> про</w:t>
      </w:r>
      <w:r>
        <w:rPr>
          <w:sz w:val="24"/>
          <w:szCs w:val="24"/>
        </w:rPr>
        <w:t xml:space="preserve">веден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 контрольн</w:t>
      </w:r>
      <w:r>
        <w:rPr>
          <w:sz w:val="24"/>
          <w:szCs w:val="24"/>
        </w:rPr>
        <w:t xml:space="preserve">ое</w:t>
      </w:r>
      <w:r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 xml:space="preserve">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проверен </w:t>
      </w:r>
      <w:r>
        <w:rPr>
          <w:sz w:val="24"/>
          <w:szCs w:val="24"/>
        </w:rPr>
        <w:t xml:space="preserve">1 объект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Объем проверенных средств составил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31150,7</w:t>
      </w:r>
      <w:r>
        <w:rPr>
          <w:sz w:val="24"/>
          <w:szCs w:val="24"/>
        </w:rPr>
        <w:t xml:space="preserve"> тыс. рублей.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Установлены нарушения формирования и испо</w:t>
      </w:r>
      <w:r>
        <w:rPr>
          <w:sz w:val="24"/>
          <w:szCs w:val="24"/>
        </w:rPr>
        <w:t xml:space="preserve">лнения требований в сфере закупок. Установлено 4 нарушения.  Нарушения внутреннего финансового контроля в объеме 41,8 тыс. рублей. </w:t>
      </w:r>
      <w:r>
        <w:rPr>
          <w:sz w:val="24"/>
          <w:szCs w:val="24"/>
        </w:rPr>
        <w:t xml:space="preserve">Недостатки и нарушения своевременно рассмотрены объектом контроля и приняты меры по их недопущению вновь. Подготовлен отчет о контрольном мероприятии.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line="240" w:lineRule="auto"/>
        <w:rPr>
          <w:b/>
          <w:bCs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В сфере муниципальной программы «Развитие инфраструктуры и благоустройство в населенных пунктов в муниципальном образовании «Городской округ Ногликский» </w:t>
      </w:r>
      <w:r>
        <w:rPr>
          <w:sz w:val="24"/>
          <w:szCs w:val="24"/>
        </w:rPr>
        <w:t xml:space="preserve">по направлению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Организация и содержание мест захоронений» объем проверенных средств составил 10134,7 тыс. рублей. По направлению «Прочие мероприятия» объем проверенных средств составил 99630,5 тыс. рублей.</w:t>
      </w:r>
      <w:r>
        <w:rPr>
          <w:sz w:val="24"/>
          <w:szCs w:val="24"/>
          <w:highlight w:val="none"/>
        </w:rPr>
        <w:t xml:space="preserve"> Проведено </w:t>
      </w:r>
      <w:r>
        <w:rPr>
          <w:sz w:val="24"/>
          <w:szCs w:val="24"/>
          <w:highlight w:val="none"/>
        </w:rPr>
        <w:t xml:space="preserve">1 контрольное мероприятие. Установлены нарушения внутреннего финансового контроля, условия выполнения заключенных договоров, оформления первичных документов о фактах хозяйственной деятельности. Установлено 9 нарушений. Сумма нарушений 74160,1 тыс. рублей.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целях устранения выявленных нарушений направлено информационное письмо в адрес </w:t>
      </w:r>
      <w:r>
        <w:rPr>
          <w:sz w:val="24"/>
          <w:szCs w:val="24"/>
        </w:rPr>
        <w:t xml:space="preserve">объект</w:t>
      </w:r>
      <w:r>
        <w:rPr>
          <w:sz w:val="24"/>
          <w:szCs w:val="24"/>
        </w:rPr>
        <w:t xml:space="preserve"> контроля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Подготовлен один отчет.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В сфере муниципальной программы «Стимулирование экономической активности в муниципальном образовании «Городской округ Ногликский»</w:t>
      </w:r>
      <w:r>
        <w:rPr>
          <w:sz w:val="24"/>
          <w:szCs w:val="24"/>
        </w:rPr>
        <w:t xml:space="preserve"> проверка проводилась по направлениям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Организация и проведение выставок, ярмарок товаров и услуг»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</w:t>
      </w:r>
      <w:r>
        <w:rPr>
          <w:sz w:val="24"/>
          <w:szCs w:val="24"/>
        </w:rPr>
        <w:t xml:space="preserve">». Провед</w:t>
      </w:r>
      <w:r>
        <w:rPr>
          <w:sz w:val="24"/>
          <w:szCs w:val="24"/>
        </w:rPr>
        <w:t xml:space="preserve">ено 1 контрол</w:t>
      </w:r>
      <w:r>
        <w:rPr>
          <w:sz w:val="24"/>
          <w:szCs w:val="24"/>
        </w:rPr>
        <w:t xml:space="preserve">ьное мероприятие. Объем проверенных средств 1371,1 тыс. рублей. Установлены нарушения и замечания в части формирования обязательных форм, Соглашений о предоставлении субсидии, условий исполнения договоров. Установлено 5 нарушений. Сумма 340,0 тыс. рублей. </w:t>
      </w:r>
      <w:r>
        <w:rPr>
          <w:sz w:val="24"/>
          <w:szCs w:val="24"/>
        </w:rPr>
        <w:t xml:space="preserve">В целях устранения выявленных нарушений направлено информационное письмо в адрес </w:t>
      </w:r>
      <w:r>
        <w:rPr>
          <w:sz w:val="24"/>
          <w:szCs w:val="24"/>
        </w:rPr>
        <w:t xml:space="preserve">объект</w:t>
      </w:r>
      <w:r>
        <w:rPr>
          <w:sz w:val="24"/>
          <w:szCs w:val="24"/>
        </w:rPr>
        <w:t xml:space="preserve"> контроля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Подготовлен один отчет.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firstLine="708"/>
        <w:jc w:val="both"/>
        <w:spacing w:line="240" w:lineRule="auto"/>
        <w:rPr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В ходе мероприятия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соблюдению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о размерах, порядке и условиях предоставления гарантий и компенсаций лицам, проживающим в Ногликском районе и работающим в организациях, финансируемых из бюджета муниципального образования «Ногликский район»</w:t>
      </w:r>
      <w:r>
        <w:rPr>
          <w:sz w:val="24"/>
          <w:szCs w:val="24"/>
          <w:highlight w:val="none"/>
        </w:rPr>
        <w:t xml:space="preserve"> проведено одно мероприятие. Объем проверенных средств 75569,8 тыс. рублей. Установлены нарушения соблюдения Учетной стандарт</w:t>
      </w:r>
      <w:r>
        <w:rPr>
          <w:sz w:val="24"/>
          <w:szCs w:val="24"/>
          <w:highlight w:val="none"/>
        </w:rPr>
        <w:t xml:space="preserve">изированной политики объекта контроля, формирования и исполнения форм отчетности, оформления первичных документов о фактах хозяйственной деятельности, нарушения внутреннего финансового контроля. </w:t>
      </w:r>
      <w:r>
        <w:rPr>
          <w:sz w:val="24"/>
          <w:szCs w:val="24"/>
          <w:highlight w:val="none"/>
        </w:rPr>
        <w:t xml:space="preserve">Установлено 31 нарушение.</w:t>
      </w:r>
      <w:r>
        <w:rPr>
          <w:sz w:val="24"/>
          <w:szCs w:val="24"/>
          <w:highlight w:val="none"/>
        </w:rPr>
        <w:t xml:space="preserve"> Сумма нарушений 603,2 тыс. рублей. </w:t>
      </w:r>
      <w:r>
        <w:rPr>
          <w:sz w:val="24"/>
          <w:szCs w:val="24"/>
        </w:rPr>
        <w:t xml:space="preserve">В целях устранения выявленных нарушений направлено представление в адрес </w:t>
      </w:r>
      <w:r>
        <w:rPr>
          <w:sz w:val="24"/>
          <w:szCs w:val="24"/>
        </w:rPr>
        <w:t xml:space="preserve">объект</w:t>
      </w:r>
      <w:r>
        <w:rPr>
          <w:sz w:val="24"/>
          <w:szCs w:val="24"/>
        </w:rPr>
        <w:t xml:space="preserve"> контроля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Недостатки и нарушения своевременно рассмотрены объектом контроля и приняты меры по их недопущению вновь</w:t>
      </w:r>
      <w:r>
        <w:rPr>
          <w:sz w:val="24"/>
          <w:szCs w:val="24"/>
        </w:rPr>
        <w:t xml:space="preserve">. Подготовлен один отчет.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line="240" w:lineRule="auto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процессе внешней проверки консолидированного годового отчета об исполнении местного бюджета за 20</w:t>
      </w:r>
      <w:r>
        <w:rPr>
          <w:b w:val="0"/>
          <w:bCs w:val="0"/>
          <w:sz w:val="24"/>
          <w:szCs w:val="24"/>
        </w:rPr>
        <w:t xml:space="preserve">2</w:t>
      </w:r>
      <w:r>
        <w:rPr>
          <w:b w:val="0"/>
          <w:bCs w:val="0"/>
          <w:sz w:val="24"/>
          <w:szCs w:val="24"/>
        </w:rPr>
        <w:t xml:space="preserve">3 год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проведено 10 контрольных мероприятий субъектов проверки – главных администраторов бюджетных средств. </w:t>
      </w:r>
      <w:r>
        <w:rPr>
          <w:sz w:val="24"/>
          <w:szCs w:val="24"/>
        </w:rPr>
        <w:t xml:space="preserve">Сводный годовой отчет от исполнении местного бюджета за 2023 год.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бъем проверенных средств</w:t>
      </w:r>
      <w:r>
        <w:rPr>
          <w:sz w:val="24"/>
          <w:szCs w:val="24"/>
        </w:rPr>
        <w:t xml:space="preserve"> по кассовым расходам</w:t>
      </w:r>
      <w:r>
        <w:rPr>
          <w:sz w:val="24"/>
          <w:szCs w:val="24"/>
        </w:rPr>
        <w:t xml:space="preserve"> составил </w:t>
      </w:r>
      <w:r>
        <w:rPr>
          <w:sz w:val="24"/>
          <w:szCs w:val="24"/>
        </w:rPr>
        <w:t xml:space="preserve">3383712,8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рублей. </w:t>
      </w:r>
      <w:r>
        <w:rPr>
          <w:sz w:val="24"/>
          <w:szCs w:val="24"/>
        </w:rPr>
        <w:t xml:space="preserve">Выявленные нарушения отражены в заключениях о контрольных мероприятиях</w:t>
      </w:r>
      <w:r>
        <w:rPr>
          <w:sz w:val="24"/>
          <w:szCs w:val="24"/>
        </w:rPr>
        <w:t xml:space="preserve"> и направлены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адрес объектов</w:t>
      </w:r>
      <w:r>
        <w:rPr>
          <w:sz w:val="24"/>
          <w:szCs w:val="24"/>
        </w:rPr>
        <w:t xml:space="preserve"> контроля.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Установлены 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 по формированию годовой отчетности, установленных </w:t>
      </w:r>
      <w:r>
        <w:rPr>
          <w:sz w:val="24"/>
          <w:szCs w:val="24"/>
        </w:rPr>
        <w:t xml:space="preserve">Мин</w:t>
      </w:r>
      <w:r>
        <w:rPr>
          <w:sz w:val="24"/>
          <w:szCs w:val="24"/>
        </w:rPr>
        <w:t xml:space="preserve">истерством</w:t>
      </w:r>
      <w:r>
        <w:rPr>
          <w:sz w:val="24"/>
          <w:szCs w:val="24"/>
        </w:rPr>
        <w:t xml:space="preserve"> финансов Российской Федерации</w:t>
      </w:r>
      <w:r>
        <w:rPr>
          <w:sz w:val="24"/>
          <w:szCs w:val="24"/>
        </w:rPr>
        <w:t xml:space="preserve"> на бумажном носителе. </w:t>
      </w:r>
      <w:r>
        <w:rPr>
          <w:sz w:val="24"/>
          <w:szCs w:val="24"/>
        </w:rPr>
        <w:t xml:space="preserve">Установлены нарушения</w:t>
      </w:r>
      <w:r>
        <w:rPr>
          <w:sz w:val="24"/>
          <w:szCs w:val="24"/>
        </w:rPr>
        <w:t xml:space="preserve"> сроков представления</w:t>
      </w:r>
      <w:r>
        <w:rPr>
          <w:sz w:val="24"/>
          <w:szCs w:val="24"/>
        </w:rPr>
        <w:t xml:space="preserve"> годовой бюджетной отчетности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Обозначенные нарушения не повлияли на достоверность и обоснованность сформированных отчетных форм. </w:t>
      </w:r>
      <w:r>
        <w:rPr>
          <w:sz w:val="24"/>
          <w:szCs w:val="24"/>
        </w:rPr>
      </w:r>
    </w:p>
    <w:p>
      <w:pPr>
        <w:ind w:firstLine="709"/>
        <w:jc w:val="center"/>
        <w:rPr>
          <w:b/>
        </w:rPr>
      </w:pPr>
      <w:r>
        <w:rPr>
          <w:b/>
        </w:rPr>
        <w:t xml:space="preserve">3. Экспертно-аналитическая деятельность</w:t>
      </w:r>
      <w:r>
        <w:rPr>
          <w:b/>
        </w:rPr>
      </w:r>
      <w:r>
        <w:rPr>
          <w:b/>
        </w:rPr>
      </w:r>
      <w:r>
        <w:rPr>
          <w:b/>
        </w:rPr>
      </w: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Одной из форм осуществления </w:t>
      </w:r>
      <w:r>
        <w:rPr>
          <w:color w:val="000000"/>
        </w:rPr>
        <w:t xml:space="preserve">К</w:t>
      </w:r>
      <w:r>
        <w:rPr>
          <w:color w:val="000000"/>
        </w:rPr>
        <w:t xml:space="preserve">онтрольно-счетной палаты</w:t>
      </w:r>
      <w:r>
        <w:rPr>
          <w:color w:val="000000"/>
        </w:rPr>
        <w:t xml:space="preserve"> внешнего муниципального финансового контроля являются экспертно-аналитические мероприятия.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Планом работы к</w:t>
      </w:r>
      <w:r>
        <w:rPr>
          <w:color w:val="000000"/>
        </w:rPr>
        <w:t xml:space="preserve">онтрольно-счетной палаты на 202</w:t>
      </w:r>
      <w:r>
        <w:rPr>
          <w:color w:val="000000"/>
        </w:rPr>
        <w:t xml:space="preserve">4 год утверждено</w:t>
      </w:r>
      <w:r>
        <w:rPr>
          <w:color w:val="000000"/>
        </w:rPr>
        <w:t xml:space="preserve"> проведение экспертно-аналитических мероприятий по следующим направлениям </w:t>
      </w:r>
      <w:r>
        <w:rPr>
          <w:color w:val="000000"/>
        </w:rPr>
        <w:t xml:space="preserve">внешнего муниципального </w:t>
      </w:r>
      <w:r>
        <w:rPr>
          <w:color w:val="000000"/>
        </w:rPr>
        <w:t xml:space="preserve">финансового контроля: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1</w:t>
      </w:r>
      <w:r>
        <w:rPr>
          <w:color w:val="000000"/>
        </w:rPr>
        <w:t xml:space="preserve">) </w:t>
      </w:r>
      <w:r>
        <w:t xml:space="preserve">Внешняя проверка годового консолидированного отчета об исполнении бюджета муниципального образования «Городской</w:t>
      </w:r>
      <w:r>
        <w:t xml:space="preserve"> округ Ногликский» за 20</w:t>
      </w:r>
      <w:r>
        <w:t xml:space="preserve">2</w:t>
      </w:r>
      <w:r>
        <w:t xml:space="preserve">3 год</w:t>
      </w:r>
      <w:r>
        <w:rPr>
          <w:color w:val="000000"/>
        </w:rPr>
        <w:t xml:space="preserve">;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3) </w:t>
      </w:r>
      <w:r>
        <w:t xml:space="preserve">Анализ бюджетного процесса в муниципальном образовании «Городской округ Ногликский» и подготовка предложений, направленных на его совершенствование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4) </w:t>
      </w:r>
      <w:r>
        <w:t xml:space="preserve">Финансово</w:t>
      </w:r>
      <w:r>
        <w:t xml:space="preserve">-экономическая экспертиза проектов муниципальных правовых актов (включая обоснованность финансово-экономических обоснований) в части, касающихся расходных обязательств муниципального образования «Городской округ Ногликский», а также муниципальных программ;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240" w:lineRule="auto"/>
      </w:pPr>
      <w:r>
        <w:rPr>
          <w:color w:val="000000"/>
        </w:rPr>
        <w:t xml:space="preserve">5) </w:t>
      </w:r>
      <w:r>
        <w:t xml:space="preserve">Экспертиза и подготовка заключения на проект решения Собрания муниципального образования «Городской округ Ногликский» о бюджете му</w:t>
      </w:r>
      <w:r>
        <w:t xml:space="preserve">ниципального образования на 202</w:t>
      </w:r>
      <w:r>
        <w:t xml:space="preserve">5 год и на плановый период 202</w:t>
      </w:r>
      <w:r>
        <w:t xml:space="preserve">6 и </w:t>
      </w:r>
      <w:r>
        <w:t xml:space="preserve">202</w:t>
      </w:r>
      <w:r>
        <w:t xml:space="preserve">7 годов.</w:t>
      </w:r>
      <w:r/>
    </w:p>
    <w:p>
      <w:pPr>
        <w:ind w:firstLine="709"/>
        <w:jc w:val="both"/>
        <w:spacing w:line="240" w:lineRule="auto"/>
      </w:pPr>
      <w:r>
        <w:t xml:space="preserve"> Запланированные мероприятия проведены в полном объеме, п</w:t>
      </w:r>
      <w:r>
        <w:t xml:space="preserve">о их результатам подготовлено </w:t>
      </w:r>
      <w:r>
        <w:t xml:space="preserve">65 заключений. </w:t>
      </w:r>
      <w:r/>
    </w:p>
    <w:p>
      <w:pPr>
        <w:ind w:firstLine="709"/>
        <w:jc w:val="both"/>
        <w:spacing w:line="240" w:lineRule="auto"/>
      </w:pPr>
      <w:r>
        <w:t xml:space="preserve">В рамках экспертно-аналит</w:t>
      </w:r>
      <w:r>
        <w:t xml:space="preserve">ических мероприятий </w:t>
      </w:r>
      <w:r>
        <w:t xml:space="preserve">К</w:t>
      </w:r>
      <w:r>
        <w:t xml:space="preserve">онтрольно-счетной палатой подготовлено </w:t>
      </w:r>
      <w:r>
        <w:t xml:space="preserve">4</w:t>
      </w:r>
      <w:r>
        <w:t xml:space="preserve"> предложени</w:t>
      </w:r>
      <w:r>
        <w:t xml:space="preserve">я</w:t>
      </w:r>
      <w:r>
        <w:t xml:space="preserve"> по обеспечению</w:t>
      </w:r>
      <w:r>
        <w:t xml:space="preserve"> равномерности расходования средств бюджета, повышению ответственности главных распорядителей бюджетных средств. </w:t>
      </w:r>
      <w:r/>
    </w:p>
    <w:p>
      <w:pPr>
        <w:ind w:firstLine="709"/>
        <w:jc w:val="both"/>
        <w:spacing w:line="240" w:lineRule="auto"/>
      </w:pPr>
      <w:r>
        <w:t xml:space="preserve">В 1 квартале 202</w:t>
      </w:r>
      <w:r>
        <w:t xml:space="preserve">4 года проведено экспертно-аналитическое мероприятие внешняя проверка годового отчета об исполнении бюджета муниципального образования «Гор</w:t>
      </w:r>
      <w:r>
        <w:t xml:space="preserve">одской округ Ногликский» за 20</w:t>
      </w:r>
      <w:r>
        <w:t xml:space="preserve">2</w:t>
      </w:r>
      <w:r>
        <w:t xml:space="preserve">3 год. Объем проверенных составил</w:t>
      </w:r>
      <w:r>
        <w:t xml:space="preserve">:</w:t>
      </w:r>
      <w:r>
        <w:t xml:space="preserve"> доходы </w:t>
      </w:r>
      <w:r>
        <w:t xml:space="preserve">3095410,5</w:t>
      </w:r>
      <w:r>
        <w:t xml:space="preserve"> тыс. рублей, расходы </w:t>
      </w:r>
      <w:r>
        <w:t xml:space="preserve">3383712,8</w:t>
      </w:r>
      <w:r>
        <w:t xml:space="preserve"> тыс. рублей</w:t>
      </w:r>
      <w:r>
        <w:t xml:space="preserve">. </w:t>
      </w:r>
      <w:r/>
    </w:p>
    <w:p>
      <w:pPr>
        <w:jc w:val="both"/>
        <w:spacing w:line="240" w:lineRule="auto"/>
      </w:pPr>
      <w:r>
        <w:rPr>
          <w:color w:val="000000"/>
        </w:rPr>
        <w:t xml:space="preserve">Годовая консолидированная отчетность соответствует требованиям бюджетного законодательства Российской Федерации, нормативно-правовым актам муниципального образования, </w:t>
      </w:r>
      <w:r>
        <w:t xml:space="preserve">достоверна</w:t>
      </w:r>
      <w:r>
        <w:t xml:space="preserve">, обоснованна.</w:t>
      </w:r>
      <w:r>
        <w:t xml:space="preserve"> Нецелевого использования средств бюджета не установлено.</w:t>
      </w:r>
      <w:r/>
    </w:p>
    <w:p>
      <w:pPr>
        <w:jc w:val="both"/>
        <w:spacing w:after="120" w:line="240" w:lineRule="auto"/>
        <w:widowControl w:val="off"/>
        <w:tabs>
          <w:tab w:val="left" w:pos="284" w:leader="none"/>
        </w:tabs>
      </w:pPr>
      <w:r>
        <w:t xml:space="preserve">В 202</w:t>
      </w:r>
      <w:r>
        <w:t xml:space="preserve">4 году подготовлено заключение на проект </w:t>
      </w:r>
      <w:r>
        <w:rPr>
          <w:color w:val="000000"/>
        </w:rPr>
        <w:t xml:space="preserve"> решения Собрания муниципального образования «Городской округ Ногликский» </w:t>
      </w:r>
      <w:r>
        <w:rPr>
          <w:color w:val="000000"/>
        </w:rPr>
        <w:t xml:space="preserve">«</w:t>
      </w:r>
      <w:r>
        <w:rPr>
          <w:color w:val="000000"/>
        </w:rPr>
        <w:t xml:space="preserve">О бюджете муниципального образования «Гор</w:t>
      </w:r>
      <w:r>
        <w:rPr>
          <w:color w:val="000000"/>
        </w:rPr>
        <w:t xml:space="preserve">одской округ Ногликский» на 202</w:t>
      </w:r>
      <w:r>
        <w:rPr>
          <w:color w:val="000000"/>
        </w:rPr>
        <w:t xml:space="preserve">5 год и плановый период 202</w:t>
      </w:r>
      <w:r>
        <w:rPr>
          <w:color w:val="000000"/>
        </w:rPr>
        <w:t xml:space="preserve">6 и 202</w:t>
      </w:r>
      <w:r>
        <w:rPr>
          <w:color w:val="000000"/>
        </w:rPr>
        <w:t xml:space="preserve">7 годов</w:t>
      </w:r>
      <w:r>
        <w:rPr>
          <w:color w:val="000000"/>
        </w:rPr>
        <w:t xml:space="preserve">»</w:t>
      </w:r>
      <w:r>
        <w:rPr>
          <w:color w:val="000000"/>
        </w:rPr>
        <w:t xml:space="preserve">, который признан </w:t>
      </w:r>
      <w:r>
        <w:t xml:space="preserve"> подготовленным</w:t>
      </w:r>
      <w:r>
        <w:t xml:space="preserve"> в установленные законодательством сроки,</w:t>
      </w:r>
      <w:r>
        <w:t xml:space="preserve"> в соответствии</w:t>
      </w:r>
      <w:r>
        <w:t xml:space="preserve"> с требованиями бюджетного законодательства, экономически обоснован, достоверен, сбалансирован, соответствует основным направлениям бюджетной и налоговой политики, основным показателям прогноза социально-экономического развития муниципального образования. </w:t>
      </w:r>
      <w:r/>
    </w:p>
    <w:p>
      <w:pPr>
        <w:ind w:firstLine="709"/>
        <w:jc w:val="center"/>
        <w:spacing w:line="240" w:lineRule="auto"/>
        <w:tabs>
          <w:tab w:val="left" w:pos="851" w:leader="none"/>
          <w:tab w:val="left" w:pos="993" w:leader="none"/>
        </w:tabs>
        <w:rPr>
          <w:b/>
          <w:lang w:eastAsia="en-US"/>
        </w:rPr>
      </w:pPr>
      <w:r>
        <w:rPr>
          <w:b/>
          <w:lang w:eastAsia="en-US"/>
        </w:rPr>
        <w:t xml:space="preserve">4. Информирование общественности и взаимодействие</w:t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ind w:firstLine="709"/>
        <w:jc w:val="center"/>
        <w:spacing w:line="240" w:lineRule="auto"/>
        <w:tabs>
          <w:tab w:val="left" w:pos="851" w:leader="none"/>
          <w:tab w:val="left" w:pos="993" w:leader="none"/>
        </w:tabs>
        <w:rPr>
          <w:b/>
          <w:lang w:eastAsia="en-US"/>
        </w:rPr>
      </w:pPr>
      <w:r>
        <w:rPr>
          <w:b/>
          <w:lang w:eastAsia="en-US"/>
        </w:rPr>
        <w:t xml:space="preserve">К</w:t>
      </w:r>
      <w:r>
        <w:rPr>
          <w:b/>
          <w:lang w:eastAsia="en-US"/>
        </w:rPr>
        <w:t xml:space="preserve">онтрольно</w:t>
      </w:r>
      <w:r>
        <w:rPr>
          <w:lang w:eastAsia="en-US"/>
        </w:rPr>
        <w:t xml:space="preserve">-</w:t>
      </w:r>
      <w:r>
        <w:rPr>
          <w:b/>
          <w:lang w:eastAsia="en-US"/>
        </w:rPr>
        <w:t xml:space="preserve">счетной палаты муниципального образования</w:t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ind w:firstLine="709"/>
        <w:jc w:val="center"/>
        <w:spacing w:line="240" w:lineRule="auto"/>
        <w:tabs>
          <w:tab w:val="left" w:pos="851" w:leader="none"/>
          <w:tab w:val="left" w:pos="993" w:leader="none"/>
        </w:tabs>
        <w:rPr>
          <w:b/>
          <w:lang w:eastAsia="en-US"/>
        </w:rPr>
      </w:pPr>
      <w:r>
        <w:rPr>
          <w:b/>
          <w:lang w:eastAsia="en-US"/>
        </w:rPr>
        <w:t xml:space="preserve">«Городской округ Ногликский»</w:t>
      </w: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ind w:firstLine="709"/>
        <w:jc w:val="both"/>
        <w:spacing w:line="240" w:lineRule="auto"/>
      </w:pPr>
      <w:r>
        <w:rPr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целях приведения в соответствии с нормами и требованиями Федерального закона от 06.10.2003 № 131-ФЗ «Об общих принципах организации местного самоуправления в Российской Федерации» в рамках преобразования муниципального образования согласно Закона Сахалин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ской области от 14.11.2024 № 96-ЗО «О статусе и границах муниципальных образований в Сахалинской области», статьи 32.1 Устава муниципального образования Ногликский муниципальный округ Сахалинской области</w:t>
      </w:r>
      <w:r>
        <w:t xml:space="preserve"> утверждено Положение о Контрольно-</w:t>
      </w:r>
      <w:r>
        <w:t xml:space="preserve">полномочий</w:t>
      </w:r>
      <w:r>
        <w:t xml:space="preserve"> палате муниципального образования  Ногликский муниципальный округ Сахалинской области от 13.12.2024 № 39.</w:t>
      </w:r>
      <w:r>
        <w:t xml:space="preserve"> Штатная численность на 31</w:t>
      </w:r>
      <w:r>
        <w:t xml:space="preserve"> декабря </w:t>
      </w:r>
      <w:r>
        <w:t xml:space="preserve">2024 года Контрольно-счетной палаты составляет 3 </w:t>
      </w:r>
      <w:r>
        <w:t xml:space="preserve">единицы</w:t>
      </w:r>
      <w:r>
        <w:t xml:space="preserve">, из них одна</w:t>
      </w:r>
      <w:r>
        <w:t xml:space="preserve"> единица -</w:t>
      </w:r>
      <w:r>
        <w:t xml:space="preserve"> муниципальная должность, одна </w:t>
      </w:r>
      <w:r>
        <w:t xml:space="preserve">единица - </w:t>
      </w:r>
      <w:r>
        <w:t xml:space="preserve">должность муниципальной службы, одна</w:t>
      </w:r>
      <w:r>
        <w:t xml:space="preserve"> единица -</w:t>
      </w:r>
      <w:r>
        <w:t xml:space="preserve"> иная должность, не являющаяся должностью муниципальной службы.</w:t>
      </w:r>
      <w:r>
        <w:t xml:space="preserve"> </w:t>
      </w:r>
      <w:r>
        <w:t xml:space="preserve">Выполняя возложенные полномочия,</w:t>
      </w:r>
      <w:r>
        <w:t xml:space="preserve"> установленны</w:t>
      </w:r>
      <w:r>
        <w:t xml:space="preserve">е</w:t>
      </w:r>
      <w:r>
        <w:t xml:space="preserve"> Федерал</w:t>
      </w:r>
      <w:r>
        <w:t xml:space="preserve">ьным законом 07.02.2011 N 6-ФЗ «</w:t>
      </w:r>
      <w:r>
        <w:t xml:space="preserve">Об общих принципах организации и деятельности контрольно-счетных органов субъектов Российской Федерац</w:t>
      </w:r>
      <w:r>
        <w:t xml:space="preserve">ии, федеральных территорий и муниципальных образований»</w:t>
      </w:r>
      <w:r>
        <w:t xml:space="preserve"> </w:t>
      </w:r>
      <w:r>
        <w:t xml:space="preserve">К</w:t>
      </w:r>
      <w:r>
        <w:t xml:space="preserve">онтрольно-счетн</w:t>
      </w:r>
      <w:r>
        <w:t xml:space="preserve">ая</w:t>
      </w:r>
      <w:r>
        <w:t xml:space="preserve"> палат</w:t>
      </w:r>
      <w:r>
        <w:t xml:space="preserve">а</w:t>
      </w:r>
      <w:r>
        <w:t xml:space="preserve"> взаимодейств</w:t>
      </w:r>
      <w:r>
        <w:t xml:space="preserve">ует</w:t>
      </w:r>
      <w:r>
        <w:t xml:space="preserve"> и сотруднич</w:t>
      </w:r>
      <w:r>
        <w:t xml:space="preserve">ает</w:t>
      </w:r>
      <w:r>
        <w:t xml:space="preserve">  с Контрольно-счетной палатой по Сахалинской области, </w:t>
      </w:r>
      <w:r>
        <w:t xml:space="preserve">Управлением Федерального казначейства по Сахалинской области, </w:t>
      </w:r>
      <w:r>
        <w:t xml:space="preserve">Прокуратурой Ногликского района Сахалинской области, ОМВД России по городскому округу «Ногликский», Управлением Социального фонда Российской Федерации по </w:t>
      </w:r>
      <w:r>
        <w:t xml:space="preserve">Сахалинской области. В рамках соглашений </w:t>
      </w:r>
      <w:r>
        <w:t xml:space="preserve">подготавливалась, запрашивалась</w:t>
      </w:r>
      <w:r>
        <w:t xml:space="preserve"> необходимая информация. </w:t>
      </w:r>
      <w:r/>
    </w:p>
    <w:p>
      <w:pPr>
        <w:ind w:firstLine="709"/>
        <w:jc w:val="both"/>
        <w:spacing w:line="240" w:lineRule="auto"/>
      </w:pPr>
      <w:r>
        <w:t xml:space="preserve">Реализуя полномочия по участию </w:t>
      </w:r>
      <w:r>
        <w:t xml:space="preserve">К</w:t>
      </w:r>
      <w:r>
        <w:t xml:space="preserve">онтрольно-счетной палаты в мероприятиях, направленных на противодействие коррупции, сформирован и размещен сети </w:t>
      </w:r>
      <w:r>
        <w:t xml:space="preserve">и</w:t>
      </w:r>
      <w:r>
        <w:t xml:space="preserve">нтернет</w:t>
      </w:r>
      <w:r>
        <w:t xml:space="preserve"> на сайте муниципального образования «Городской округ Ногликский </w:t>
      </w:r>
      <w:r>
        <w:t xml:space="preserve">План противодействия коррупции в </w:t>
      </w:r>
      <w:r>
        <w:t xml:space="preserve">К</w:t>
      </w:r>
      <w:r>
        <w:t xml:space="preserve">онтрольно-счетной палате муниципального образования на 20</w:t>
      </w:r>
      <w:r>
        <w:t xml:space="preserve">21</w:t>
      </w:r>
      <w:r>
        <w:t xml:space="preserve">-202</w:t>
      </w:r>
      <w:r>
        <w:t xml:space="preserve">4</w:t>
      </w:r>
      <w:r>
        <w:t xml:space="preserve"> годы. </w:t>
      </w:r>
      <w:r/>
    </w:p>
    <w:p>
      <w:pPr>
        <w:contextualSpacing/>
        <w:ind w:firstLine="709"/>
        <w:jc w:val="both"/>
        <w:spacing w:line="240" w:lineRule="auto"/>
        <w:shd w:val="clear" w:color="auto" w:fill="ffffff"/>
        <w:tabs>
          <w:tab w:val="left" w:pos="1134" w:leader="none"/>
        </w:tabs>
      </w:pPr>
      <w:r>
        <w:t xml:space="preserve">В целях совершенствования контрольной деятельности органа внешнего муниципального финансового контроля пересматриваются и подготавливаются изменения в действующие </w:t>
      </w:r>
      <w:r>
        <w:t xml:space="preserve">С</w:t>
      </w:r>
      <w:r>
        <w:t xml:space="preserve">тандарты и </w:t>
      </w:r>
      <w:r>
        <w:t xml:space="preserve">Р</w:t>
      </w:r>
      <w:r>
        <w:t xml:space="preserve">егламент, методики, порядки.</w:t>
      </w:r>
      <w:r>
        <w:t xml:space="preserve"> </w:t>
      </w:r>
      <w:r>
        <w:t xml:space="preserve">Сотрудники </w:t>
      </w:r>
      <w:r>
        <w:t xml:space="preserve">К</w:t>
      </w:r>
      <w:r>
        <w:t xml:space="preserve">онтрольно-счетной палаты прошли обучение повышения профессиональной компетенции. Принимают участие</w:t>
      </w:r>
      <w:r>
        <w:t xml:space="preserve"> </w:t>
      </w:r>
      <w:r>
        <w:t xml:space="preserve">в вебинарах, круглых столах Союза МКСО. </w:t>
      </w:r>
      <w:r/>
    </w:p>
    <w:p>
      <w:pPr>
        <w:ind w:firstLine="709"/>
        <w:jc w:val="both"/>
        <w:spacing w:line="240" w:lineRule="auto"/>
      </w:pPr>
      <w:r>
        <w:t xml:space="preserve">Работа с обращениями граждан проводится в соответствии с Федеральным законом «О порядке рассмотрения обращений граждан Российской Федерации» и находи</w:t>
      </w:r>
      <w:r>
        <w:t xml:space="preserve">тся</w:t>
      </w:r>
      <w:r>
        <w:t xml:space="preserve"> под постоянным контролем председателя </w:t>
      </w:r>
      <w:r>
        <w:t xml:space="preserve">контрольно-счетной палаты</w:t>
      </w:r>
      <w:r>
        <w:t xml:space="preserve">. В 202</w:t>
      </w:r>
      <w:r>
        <w:t xml:space="preserve">4 году в </w:t>
      </w:r>
      <w:r>
        <w:t xml:space="preserve">К</w:t>
      </w:r>
      <w:r>
        <w:t xml:space="preserve">онтрольно-счетную палату</w:t>
      </w:r>
      <w:r>
        <w:t xml:space="preserve"> обращений граждан и должностных лиц</w:t>
      </w:r>
      <w:r>
        <w:t xml:space="preserve"> не поступало</w:t>
      </w:r>
      <w:r>
        <w:t xml:space="preserve">. </w:t>
      </w:r>
      <w:r/>
    </w:p>
    <w:p>
      <w:pPr>
        <w:ind w:firstLine="709"/>
        <w:jc w:val="both"/>
        <w:spacing w:line="240" w:lineRule="auto"/>
      </w:pPr>
      <w:r>
        <w:t xml:space="preserve">В сроки, установленные действующим законодательством по вопрос</w:t>
      </w:r>
      <w:r>
        <w:t xml:space="preserve">ам противодействия коррупции, ос</w:t>
      </w:r>
      <w:r>
        <w:t xml:space="preserve">уществлен прием справок о доходах, об имуществе и обязательствах имущественного характера, представленных служащими Контрольно-счетной палаты, замещающими муниципальные должности, должности муниципальной службы. </w:t>
      </w:r>
      <w:r/>
    </w:p>
    <w:p>
      <w:pPr>
        <w:ind w:firstLine="709"/>
        <w:jc w:val="both"/>
        <w:spacing w:line="240" w:lineRule="auto"/>
      </w:pPr>
      <w:r>
        <w:t xml:space="preserve">В целях реализации принципа гласности и открытости в деятельности контрольно-счетных органов</w:t>
      </w:r>
      <w:r>
        <w:t xml:space="preserve">,</w:t>
      </w:r>
      <w:r>
        <w:t xml:space="preserve"> итоги </w:t>
      </w:r>
      <w:r>
        <w:t xml:space="preserve">проведенных </w:t>
      </w:r>
      <w:r>
        <w:t xml:space="preserve">контрольных и экспертно-аналитических мероприятий</w:t>
      </w:r>
      <w:r>
        <w:t xml:space="preserve">,</w:t>
      </w:r>
      <w:r>
        <w:t xml:space="preserve">  размещены в</w:t>
      </w:r>
      <w:r>
        <w:t xml:space="preserve"> сети Интернет на официальном сайте  муниципального образования «Городской округ Ногликский»,</w:t>
      </w:r>
      <w:r>
        <w:t xml:space="preserve"> разделе КСП</w:t>
      </w:r>
      <w:r>
        <w:t xml:space="preserve"> (</w:t>
      </w:r>
      <w:hyperlink r:id="rId10" w:tooltip="http://old.nogliki-adm.ru/documents/ksp/" w:history="1">
        <w:r>
          <w:rPr>
            <w:rStyle w:val="887"/>
          </w:rPr>
          <w:t xml:space="preserve">http://old.nogliki-adm.ru/documents/ksp/</w:t>
        </w:r>
      </w:hyperlink>
      <w:r>
        <w:t xml:space="preserve">).</w:t>
      </w:r>
      <w:r/>
    </w:p>
    <w:p>
      <w:pPr>
        <w:ind w:firstLine="709"/>
        <w:jc w:val="center"/>
        <w:spacing w:line="240" w:lineRule="auto"/>
        <w:rPr>
          <w:b/>
        </w:rPr>
      </w:pPr>
      <w:r>
        <w:rPr>
          <w:b/>
        </w:rPr>
        <w:t xml:space="preserve">5. Выводы и предложения</w:t>
      </w:r>
      <w:r>
        <w:rPr>
          <w:b/>
        </w:rPr>
      </w:r>
      <w:r>
        <w:rPr>
          <w:b/>
        </w:rPr>
      </w:r>
      <w:r>
        <w:rPr>
          <w:b/>
        </w:rPr>
      </w: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spacing w:line="240" w:lineRule="auto"/>
        <w:rPr>
          <w:bCs/>
        </w:rPr>
      </w:pPr>
      <w:r>
        <w:t xml:space="preserve">В отчетном периоде контрольная и экспертно-аналитическая деятельность была направлена на решение актуальных вопросов. Контрольными мероприятиями охвачены такие сферы как:</w:t>
      </w:r>
      <w:r>
        <w:rPr>
          <w:bCs/>
        </w:rPr>
        <w:t xml:space="preserve"> </w:t>
      </w:r>
      <w:r>
        <w:rPr>
          <w:bCs/>
        </w:rPr>
        <w:t xml:space="preserve">1.Проверка использования средств местного бюджета, направленных на выполнение муниципальных программ </w:t>
      </w:r>
      <w:r>
        <w:rPr>
          <w:bCs/>
        </w:rPr>
        <w:t xml:space="preserve"> в части мероприятий: </w:t>
      </w:r>
      <w:r>
        <w:rPr>
          <w:bCs/>
        </w:rPr>
      </w:r>
      <w:r>
        <w:rPr>
          <w:bCs/>
        </w:rPr>
      </w:r>
    </w:p>
    <w:p>
      <w:pPr>
        <w:ind w:firstLine="0"/>
        <w:jc w:val="both"/>
        <w:spacing w:line="240" w:lineRule="auto"/>
        <w:rPr>
          <w:highlight w:val="none"/>
        </w:rPr>
      </w:pPr>
      <w:r>
        <w:rPr>
          <w:bCs/>
        </w:rPr>
        <w:t xml:space="preserve">-</w:t>
      </w:r>
      <w:r>
        <w:t xml:space="preserve">Аудит в сфере закупок, соблюдение законодательства;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spacing w:line="240" w:lineRule="auto"/>
        <w:rPr>
          <w:highlight w:val="none"/>
        </w:rPr>
      </w:pPr>
      <w:r>
        <w:t xml:space="preserve">-Организация и содержание мест захоронений; </w:t>
      </w:r>
      <w:r>
        <w:rPr>
          <w:highlight w:val="none"/>
        </w:rPr>
        <w:t xml:space="preserve">Прочие мероприятия;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Организация и проведение выставок, ярмарок товаров и услуг;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</w:t>
      </w:r>
      <w:r>
        <w:rPr>
          <w:sz w:val="24"/>
          <w:szCs w:val="24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bCs/>
        </w:rPr>
        <w:t xml:space="preserve">2.Проверка использования средств местного бюджета </w:t>
      </w:r>
      <w:r>
        <w:t xml:space="preserve">по бюджетной смете по направлению: «Проверка использования средств местного бюджета по </w:t>
      </w:r>
      <w:r>
        <w:rPr>
          <w:rFonts w:ascii="Times New Roman" w:hAnsi="Times New Roman" w:cs="Times New Roman"/>
          <w:sz w:val="24"/>
          <w:szCs w:val="24"/>
        </w:rPr>
        <w:t xml:space="preserve">соблюдению Положения о размерах, порядке и условиях предоставления гарантий и компенсаций лицам, проживающим в Ногликском районе и работающим в организациях, финансируемых из бюджета муниципального образования «Ногликский район».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 Внешняя проверка годовых отчетов главных распорядителей бюджетных средств, получателей бюджетных средств за истекший период 2023 года.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both"/>
        <w:spacing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Внешняя проверка сводной годовой бюджетной отчетности по исполнению местного бюджета за 2023 год.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09"/>
        <w:jc w:val="both"/>
        <w:spacing w:line="240" w:lineRule="auto"/>
      </w:pPr>
      <w:r>
        <w:t xml:space="preserve">Основной задачей Контрольно-счетной палаты остается контроль за соблюдением принципов законности, эффективности и результативности использования бюджетных средств на всех этапах бюджетного процесса. </w:t>
      </w:r>
      <w:r/>
    </w:p>
    <w:p>
      <w:pPr>
        <w:ind w:firstLine="709"/>
        <w:jc w:val="both"/>
        <w:spacing w:line="240" w:lineRule="auto"/>
      </w:pPr>
      <w:r>
        <w:t xml:space="preserve">Годовым планом работы </w:t>
      </w:r>
      <w:r>
        <w:t xml:space="preserve">К</w:t>
      </w:r>
      <w:r>
        <w:t xml:space="preserve">онтрольно-счетной палаты на 202</w:t>
      </w:r>
      <w:r>
        <w:t xml:space="preserve">5 год</w:t>
      </w:r>
      <w:r>
        <w:t xml:space="preserve"> основное внимание уделя</w:t>
      </w:r>
      <w:r>
        <w:t xml:space="preserve">ется</w:t>
      </w:r>
      <w:r>
        <w:t xml:space="preserve"> контролю за реализацией муниципальных программ, </w:t>
      </w:r>
      <w:r>
        <w:t xml:space="preserve">в том числе: 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firstLine="0"/>
        <w:jc w:val="both"/>
        <w:spacing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-Реализация мероприятия «Капитальный ремонт дворовых территорий многоквартирных домов и проездов к ним»</w:t>
      </w:r>
      <w: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Совместная проверка с Контрольно-счетной палатой Сахалинской области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Проверка использования средств областного бюджета, направленных </w:t>
      </w:r>
      <w:r>
        <w:rPr>
          <w:rFonts w:ascii="Times New Roman" w:hAnsi="Times New Roman" w:cs="Times New Roman"/>
          <w:sz w:val="24"/>
          <w:szCs w:val="24"/>
        </w:rPr>
        <w:t xml:space="preserve">на реализацию государственной программы Сахалинской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населения Сахалинской области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в части использования муниципальными образованиями субсидии, выделенной на ремонты подъездов и подвальных помещений многоквартирных домов;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ind w:firstLine="0"/>
        <w:jc w:val="both"/>
        <w:spacing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Аудит в сфере закупок в целях проверки, анализа и оценки информации о законности, целесообразности, обоснова</w:t>
      </w:r>
      <w:r>
        <w:rPr>
          <w:rFonts w:ascii="Times New Roman" w:hAnsi="Times New Roman" w:cs="Times New Roman"/>
          <w:sz w:val="24"/>
          <w:szCs w:val="24"/>
        </w:rPr>
        <w:t xml:space="preserve">нности осуществления расходов,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планирование, размещения, осуществления закупок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t xml:space="preserve"> </w:t>
      </w:r>
      <w:r/>
    </w:p>
    <w:p>
      <w:pPr>
        <w:ind w:firstLine="709"/>
        <w:jc w:val="both"/>
        <w:spacing w:line="240" w:lineRule="auto"/>
      </w:pPr>
      <w:r>
        <w:t xml:space="preserve">Предусмотрено взаимодействие с органами внешнего финансового контроля субъектов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. </w:t>
      </w:r>
      <w:r/>
    </w:p>
    <w:p>
      <w:pPr>
        <w:ind w:firstLine="709"/>
        <w:jc w:val="both"/>
        <w:spacing w:line="240" w:lineRule="auto"/>
        <w:tabs>
          <w:tab w:val="left" w:pos="540" w:leader="none"/>
        </w:tabs>
      </w:pPr>
      <w:r>
        <w:t xml:space="preserve">В 202</w:t>
      </w:r>
      <w:r>
        <w:t xml:space="preserve">5 году планируется провести 1</w:t>
      </w:r>
      <w:r>
        <w:t xml:space="preserve">7 контрольных мероприятий</w:t>
      </w:r>
      <w:r>
        <w:t xml:space="preserve"> и  экспертно-аналитических мероприятия по планированию и использованию средств местного бюджета</w:t>
      </w:r>
      <w:r>
        <w:t xml:space="preserve">.</w:t>
      </w:r>
      <w:r>
        <w:t xml:space="preserve"> Запланированы экспертно-аналитические мероприятия по использованию средств местного бюджета в рамках внепрограммных мероприятий и муниципальных программ (по мере поступления).</w:t>
      </w:r>
      <w:r/>
    </w:p>
    <w:p>
      <w:pPr>
        <w:ind w:firstLine="709"/>
        <w:jc w:val="both"/>
        <w:spacing w:line="240" w:lineRule="auto"/>
        <w:tabs>
          <w:tab w:val="left" w:pos="4860" w:leader="none"/>
        </w:tabs>
        <w:rPr>
          <w:bCs/>
        </w:rPr>
      </w:pPr>
      <w:r>
        <w:rPr>
          <w:bCs/>
        </w:rPr>
        <w:t xml:space="preserve">Приоритетными направлениями осуществления </w:t>
      </w:r>
      <w:r>
        <w:rPr>
          <w:bCs/>
        </w:rPr>
        <w:t xml:space="preserve">К</w:t>
      </w:r>
      <w:r>
        <w:rPr>
          <w:bCs/>
        </w:rPr>
        <w:t xml:space="preserve">онтрольно-счетной палатой внешнего муниципаль</w:t>
      </w:r>
      <w:r>
        <w:rPr>
          <w:bCs/>
        </w:rPr>
        <w:t xml:space="preserve">ного финансового контроля в 202</w:t>
      </w:r>
      <w:r>
        <w:rPr>
          <w:bCs/>
        </w:rPr>
        <w:t xml:space="preserve">5 году и дальнейшей перспективе будут являться: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pacing w:line="240" w:lineRule="auto"/>
        <w:tabs>
          <w:tab w:val="left" w:pos="4860" w:leader="none"/>
        </w:tabs>
        <w:rPr>
          <w:bCs/>
        </w:rPr>
      </w:pPr>
      <w:r>
        <w:rPr>
          <w:bCs/>
        </w:rPr>
        <w:t xml:space="preserve">- совершенствование правового и методологического обеспечения контрольной и экспертно-аналитической деятельности </w:t>
      </w:r>
      <w:r>
        <w:rPr>
          <w:bCs/>
        </w:rPr>
        <w:t xml:space="preserve">К</w:t>
      </w:r>
      <w:r>
        <w:rPr>
          <w:bCs/>
        </w:rPr>
        <w:t xml:space="preserve">онтрольно-счетной палаты, практики применения </w:t>
      </w:r>
      <w:r>
        <w:t xml:space="preserve">Классификатора нарушений, </w:t>
      </w:r>
      <w:r>
        <w:rPr>
          <w:bCs/>
        </w:rPr>
        <w:t xml:space="preserve">выявляемых в ходе внешнего муниципального аудита (контроля), типовых стандартов внешнего муниципального финансового контроля, одобренных (рекомендованных) решениями Совета (Президиума Совета) контрольно-счетных органов при Счетной палате РФ;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pacing w:line="240" w:lineRule="auto"/>
        <w:tabs>
          <w:tab w:val="left" w:pos="4860" w:leader="none"/>
        </w:tabs>
        <w:rPr>
          <w:bCs/>
        </w:rPr>
      </w:pPr>
      <w:r>
        <w:rPr>
          <w:bCs/>
        </w:rPr>
        <w:t xml:space="preserve">- расширение информационного обеспечения деятельности </w:t>
      </w:r>
      <w:r>
        <w:rPr>
          <w:bCs/>
        </w:rPr>
        <w:t xml:space="preserve">К</w:t>
      </w:r>
      <w:r>
        <w:rPr>
          <w:bCs/>
        </w:rPr>
        <w:t xml:space="preserve">онтрольно-счетной палаты, в том числе п</w:t>
      </w:r>
      <w:r>
        <w:t xml:space="preserve">осредством размещения информации и материалов об осуществлении </w:t>
      </w:r>
      <w:r>
        <w:t xml:space="preserve">муниципального</w:t>
      </w:r>
      <w:r>
        <w:t xml:space="preserve"> финансового контроля в сфере бюджетных правоотношений.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pacing w:line="240" w:lineRule="auto"/>
        <w:tabs>
          <w:tab w:val="left" w:pos="4860" w:leader="none"/>
        </w:tabs>
        <w:rPr>
          <w:highlight w:val="none"/>
        </w:rPr>
      </w:pPr>
      <w:r>
        <w:rPr>
          <w:bCs/>
        </w:rPr>
        <w:t xml:space="preserve">Основными</w:t>
      </w:r>
      <w:r>
        <w:rPr>
          <w:bCs/>
        </w:rPr>
        <w:t xml:space="preserve"> направлениями контрольной и экспертно-аналитической деятельности контрольно-счетной палаты будут являться</w:t>
      </w:r>
      <w:r>
        <w:rPr>
          <w:bCs/>
        </w:rPr>
        <w:t xml:space="preserve">:</w:t>
      </w:r>
      <w:r>
        <w:rPr>
          <w:bCs/>
        </w:rPr>
        <w:t xml:space="preserve"> анализ</w:t>
      </w:r>
      <w:r>
        <w:rPr>
          <w:bCs/>
        </w:rPr>
        <w:t xml:space="preserve">, мониторинг</w:t>
      </w:r>
      <w:r>
        <w:rPr>
          <w:bCs/>
        </w:rPr>
        <w:t xml:space="preserve"> и </w:t>
      </w:r>
      <w:r>
        <w:t xml:space="preserve">контроль исполнения местного бюджета, </w:t>
      </w:r>
      <w:r>
        <w:rPr>
          <w:bCs/>
        </w:rPr>
        <w:t xml:space="preserve">контроль</w:t>
      </w:r>
      <w:r>
        <w:rPr>
          <w:bCs/>
        </w:rPr>
        <w:t xml:space="preserve"> </w:t>
      </w:r>
      <w:r>
        <w:rPr>
          <w:bCs/>
        </w:rPr>
        <w:t xml:space="preserve">реализации муниципальных программ, законностью и эффективностью использования бюджетных средств.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40" w:lineRule="auto"/>
        <w:tabs>
          <w:tab w:val="left" w:pos="4860" w:leader="none"/>
        </w:tabs>
      </w:pPr>
      <w:r>
        <w:rPr>
          <w:bCs/>
          <w:highlight w:val="none"/>
        </w:rPr>
      </w:r>
      <w:r>
        <w:rPr>
          <w:bCs/>
          <w:highlight w:val="none"/>
        </w:rPr>
      </w:r>
      <w:r/>
    </w:p>
    <w:p>
      <w:pPr>
        <w:jc w:val="both"/>
        <w:keepNext/>
        <w:spacing w:line="240" w:lineRule="auto"/>
        <w:tabs>
          <w:tab w:val="left" w:pos="6804" w:leader="none"/>
        </w:tabs>
        <w:rPr>
          <w:highlight w:val="none"/>
        </w:rPr>
        <w:outlineLvl w:val="1"/>
      </w:pPr>
      <w:r>
        <w:t xml:space="preserve">Председатель контрольно-счетной палаты</w:t>
      </w:r>
      <w:r>
        <w:tab/>
      </w:r>
      <w:r>
        <w:t xml:space="preserve">                         </w:t>
      </w:r>
      <w:r>
        <w:t xml:space="preserve">Т.А. Гычина</w:t>
      </w:r>
      <w:r>
        <w:rPr>
          <w:highlight w:val="none"/>
        </w:rPr>
      </w:r>
      <w:r>
        <w:rPr>
          <w:highlight w:val="none"/>
        </w:rPr>
      </w:r>
    </w:p>
    <w:p>
      <w:pPr>
        <w:spacing w:line="240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right"/>
        <w:rPr>
          <w:b/>
          <w:bCs/>
          <w:lang w:eastAsia="en-US"/>
        </w:rPr>
      </w:pPr>
      <w:r>
        <w:rPr>
          <w:b/>
          <w:bCs/>
          <w:highlight w:val="none"/>
          <w:lang w:eastAsia="en-US"/>
        </w:rPr>
      </w:r>
      <w:r>
        <w:rPr>
          <w:b/>
          <w:bCs/>
          <w:highlight w:val="none"/>
          <w:lang w:eastAsia="en-US"/>
        </w:rPr>
      </w:r>
    </w:p>
    <w:p>
      <w:pPr>
        <w:jc w:val="right"/>
        <w:rPr>
          <w:b/>
          <w:bCs/>
          <w:highlight w:val="none"/>
          <w:lang w:eastAsia="en-US"/>
        </w:rPr>
      </w:pPr>
      <w:r>
        <w:rPr>
          <w:b/>
          <w:bCs/>
          <w:lang w:eastAsia="en-US"/>
        </w:rPr>
        <w:t xml:space="preserve">Приложение № 1</w:t>
      </w:r>
      <w:r>
        <w:rPr>
          <w:b/>
          <w:bCs/>
          <w:lang w:eastAsia="en-US"/>
        </w:rPr>
      </w:r>
      <w:r>
        <w:rPr>
          <w:b/>
          <w:bCs/>
          <w:highlight w:val="none"/>
          <w:lang w:eastAsia="en-US"/>
        </w:rPr>
      </w: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  <w:r>
        <w:rPr>
          <w:b/>
          <w:bCs/>
          <w:lang w:eastAsia="en-US"/>
        </w:rPr>
      </w:r>
    </w:p>
    <w:p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Основные показатели деятельности </w:t>
      </w:r>
      <w:r>
        <w:rPr>
          <w:b/>
          <w:bCs/>
          <w:lang w:eastAsia="en-US"/>
        </w:rPr>
        <w:t xml:space="preserve">К</w:t>
      </w:r>
      <w:r>
        <w:rPr>
          <w:b/>
          <w:bCs/>
          <w:lang w:eastAsia="en-US"/>
        </w:rPr>
        <w:t xml:space="preserve">онтрольно-счетной палаты</w:t>
      </w:r>
      <w:r>
        <w:rPr>
          <w:b/>
          <w:bCs/>
          <w:lang w:eastAsia="en-US"/>
        </w:rPr>
      </w:r>
      <w:r>
        <w:rPr>
          <w:b/>
          <w:bCs/>
          <w:lang w:eastAsia="en-US"/>
        </w:rPr>
      </w: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  <w:r>
        <w:rPr>
          <w:b/>
          <w:bCs/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06"/>
        <w:gridCol w:w="3846"/>
        <w:gridCol w:w="1546"/>
        <w:gridCol w:w="1766"/>
        <w:gridCol w:w="1707"/>
      </w:tblGrid>
      <w:tr>
        <w:trPr>
          <w:cantSplit/>
        </w:trPr>
        <w:tc>
          <w:tcPr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№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п\п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Показатели              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202</w:t>
            </w:r>
            <w:r>
              <w:rPr>
                <w:sz w:val="20"/>
                <w:szCs w:val="20"/>
                <w:lang w:eastAsia="en-US"/>
              </w:rPr>
              <w:t xml:space="preserve">4 год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(всего)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47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6" w:type="dxa"/>
            <w:vMerge w:val="continue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846" w:type="dxa"/>
            <w:vMerge w:val="continue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46" w:type="dxa"/>
            <w:vMerge w:val="continue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Контрольная работа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textDirection w:val="lrTb"/>
            <w:noWrap w:val="false"/>
          </w:tcPr>
          <w:p>
            <w:pPr>
              <w:ind w:left="-105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Экспертно-аналитическая работа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1.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Проведено контрольных и экспертно-аналитических мероприятий, </w:t>
            </w:r>
            <w:r>
              <w:rPr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79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65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2.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Проведено совместных контрольных и экспертно-аналитических мероприятий с органами финансового контроля и правоохранительными органами,</w:t>
            </w:r>
            <w:r>
              <w:rPr>
                <w:sz w:val="20"/>
                <w:szCs w:val="20"/>
                <w:lang w:eastAsia="en-US"/>
              </w:rPr>
              <w:t xml:space="preserve"> в том числе: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2.1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 правоохранительными органами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3.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Охвачено контрольными мероприятиями проверяемых органов и организаций, </w:t>
            </w:r>
            <w:r>
              <w:rPr>
                <w:bCs/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3.1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сфере </w:t>
            </w:r>
            <w:r>
              <w:rPr>
                <w:sz w:val="20"/>
                <w:szCs w:val="20"/>
              </w:rPr>
              <w:t xml:space="preserve">развития инфраструктуры и благоустройства населенных пунктов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3.2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сфере стимулирования экономической активности в муниципальном образовании «Городской округ Ногликский»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3.3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4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сфере развитие культуры в муниципальном образовании «Городской округ Ногликский» Аудит закупок</w:t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3.4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сфере общегосударственных вопросов 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3.5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Внешняя проверка годовой бюджетной отчетности главных администраторов бюджетных средств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4.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Выявлено нарушений законодательства в финансово-бюджетной сфере (</w:t>
            </w:r>
            <w:r>
              <w:rPr>
                <w:bCs/>
                <w:sz w:val="20"/>
                <w:szCs w:val="20"/>
                <w:lang w:eastAsia="en-US"/>
              </w:rPr>
              <w:t xml:space="preserve">тыс. рублей),</w:t>
            </w:r>
            <w:r>
              <w:rPr>
                <w:sz w:val="20"/>
                <w:szCs w:val="20"/>
                <w:lang w:eastAsia="en-US"/>
              </w:rPr>
              <w:t xml:space="preserve"> в том числе: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75145,0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75145,0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4.1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нарушения, связанные с исполнением договоров. Недостаточность осуществление внутреннего финансового контроля при осуществлении кассового исполнения местного бюджета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74160,0</w:t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74160,0</w:t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04"/>
        </w:trPr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4.2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нарушения при формировании и исполнении бюджета /исполнение доведенных бюджетных ассигнований/</w:t>
            </w:r>
            <w:r>
              <w:rPr>
                <w:color w:val="000000"/>
                <w:sz w:val="20"/>
                <w:szCs w:val="20"/>
              </w:rPr>
              <w:t xml:space="preserve">,</w:t>
            </w:r>
            <w:r>
              <w:rPr>
                <w:color w:val="000000"/>
                <w:sz w:val="20"/>
                <w:szCs w:val="20"/>
              </w:rPr>
              <w:t xml:space="preserve"> в том числе неэффективное использование средств бюджета</w:t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985,0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985,0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16"/>
        </w:trPr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4.2.1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>
              <w:rPr>
                <w:sz w:val="20"/>
                <w:szCs w:val="20"/>
              </w:rPr>
              <w:t xml:space="preserve"> том числе: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нарушения осуществления внутреннего финансового контроля, бухгалтерского учета / неэффективное использование средств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985,0</w:t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985,0</w:t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16"/>
        </w:trPr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5.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Устранено финансовых нарушений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(тыс. рублей), 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right="-5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75145,0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75145,0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28"/>
        </w:trPr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5.1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нарушения при формировании и исполнении бюджета /исполнение доведенных бюджетных ассигнований/</w:t>
            </w:r>
            <w:r>
              <w:rPr>
                <w:color w:val="000000"/>
                <w:sz w:val="20"/>
                <w:szCs w:val="20"/>
              </w:rPr>
              <w:t xml:space="preserve">,</w:t>
            </w:r>
            <w:r>
              <w:rPr>
                <w:color w:val="000000"/>
                <w:sz w:val="20"/>
                <w:szCs w:val="20"/>
              </w:rPr>
              <w:t xml:space="preserve"> в том числе неэффективное использование средств бюджета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985,0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985,0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6.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Подготовлено экспертных заключений</w:t>
            </w:r>
            <w:r>
              <w:rPr>
                <w:sz w:val="20"/>
                <w:szCs w:val="20"/>
                <w:lang w:eastAsia="en-US"/>
              </w:rPr>
              <w:t xml:space="preserve">, в том числе: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65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65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6.1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по проектам решений Собрания муниципального образования «Городской округ Ногликский»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6.2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по проектам постановлений администрации муниципального образования «Городской округ Ногликский»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36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55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6.3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по проектам постановлений мэра муниципального образования и органа местного самоуправления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19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6.4.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  <w:lang w:eastAsia="en-US"/>
              </w:rPr>
              <w:t xml:space="preserve">Выявлено нарушений при проведении экспертно-аналитических мероприятий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7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7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7.</w:t>
            </w: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Количество направленных представлений </w:t>
            </w:r>
            <w:r>
              <w:rPr>
                <w:bCs/>
                <w:sz w:val="20"/>
                <w:szCs w:val="20"/>
                <w:lang w:eastAsia="en-US"/>
              </w:rPr>
              <w:t xml:space="preserve">(текущего года)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8.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Количество представлений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снятых с контроля </w:t>
            </w:r>
            <w:r>
              <w:rPr>
                <w:bCs/>
                <w:sz w:val="20"/>
                <w:szCs w:val="20"/>
                <w:lang w:eastAsia="en-US"/>
              </w:rPr>
              <w:t xml:space="preserve">(исполненных текущего года)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9.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Количество информационных писем, в ед.</w:t>
            </w:r>
            <w:r>
              <w:rPr>
                <w:bCs/>
                <w:sz w:val="20"/>
                <w:szCs w:val="20"/>
                <w:lang w:eastAsia="en-US"/>
              </w:rPr>
              <w:t xml:space="preserve"> (текущего года)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bCs/>
                <w:sz w:val="20"/>
                <w:szCs w:val="20"/>
                <w:lang w:eastAsia="en-US"/>
              </w:rPr>
              <w:t xml:space="preserve">из них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9.1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снятых с контроля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10.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Количество материалов, направленных в органы прокуратуры, иные 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5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правоохранительные органы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11.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Количество возбужденных по материалам КСП уголовных дел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12.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Привлечено к дисциплинар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ной ответственности </w:t>
            </w:r>
            <w:r>
              <w:rPr>
                <w:bCs/>
                <w:sz w:val="20"/>
                <w:szCs w:val="20"/>
                <w:lang w:eastAsia="en-US"/>
              </w:rPr>
              <w:t xml:space="preserve">(чел.),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в том числе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: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12.1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замечаний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12.2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предупреждений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12.3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выговоров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12.4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увольнений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12.5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понижение в должности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13.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Количество возбужденных по материалам КСП административных производств, </w:t>
            </w:r>
            <w:r>
              <w:rPr>
                <w:bCs/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13.1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привлечено специалистов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13.2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сумма штрафов (тыс. рублей)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14.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Количество подготовленных локальных нормативных актов, </w:t>
            </w:r>
            <w:r>
              <w:rPr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8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14.1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Положение о Контрольно-счетной палате муниципального образования Ногликский муниципальный округ Сахалинской области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15.</w:t>
            </w:r>
            <w:r>
              <w:rPr>
                <w:b/>
                <w:bCs/>
                <w:sz w:val="20"/>
                <w:szCs w:val="20"/>
                <w:lang w:eastAsia="en-US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Количество поступивших обращений граждан, общественных организаций </w:t>
            </w:r>
            <w:r>
              <w:rPr>
                <w:bCs/>
                <w:sz w:val="20"/>
                <w:szCs w:val="20"/>
                <w:lang w:eastAsia="en-US"/>
              </w:rPr>
              <w:t xml:space="preserve">(ед.)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16.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textDirection w:val="lrTb"/>
            <w:noWrap w:val="false"/>
          </w:tcPr>
          <w:p>
            <w:pPr>
              <w:ind w:right="-59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Охвачено контрольными, экспертно-аналитическими мероприятиями средств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</w:t>
            </w:r>
            <w:r>
              <w:rPr>
                <w:color w:val="000000"/>
                <w:sz w:val="20"/>
                <w:szCs w:val="20"/>
              </w:rPr>
              <w:t xml:space="preserve">тыс. рублей</w:t>
            </w:r>
            <w:r>
              <w:rPr>
                <w:b/>
                <w:color w:val="000000"/>
                <w:sz w:val="20"/>
                <w:szCs w:val="20"/>
              </w:rPr>
              <w:t xml:space="preserve">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4331919,0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5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53" w:hanging="180"/>
      </w:pPr>
    </w:lvl>
  </w:abstractNum>
  <w:abstractNum w:abstractNumId="2">
    <w:multiLevelType w:val="hybridMultilevel"/>
    <w:styleLink w:val="909"/>
    <w:lvl w:ilvl="0">
      <w:start w:val="1"/>
      <w:numFmt w:val="bullet"/>
      <w:pStyle w:val="909"/>
      <w:isLgl w:val="false"/>
      <w:suff w:val="tab"/>
      <w:lvlText w:val="-"/>
      <w:lvlJc w:val="left"/>
      <w:pPr>
        <w:ind w:left="1068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 w:eastAsia="Calibri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 w:eastAsia="Calibri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 w:eastAsia="Calibri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 w:eastAsia="Calibri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 w:eastAsia="Calibri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 w:eastAsia="Calibri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 w:eastAsia="Calibri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 w:eastAsia="Calibri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7" w:hanging="94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b w:val="0"/>
        <w:i w:val="0"/>
        <w:caps w:val="0"/>
        <w:strike w:val="0"/>
        <w:vanish w:val="0"/>
        <w:sz w:val="26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5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b w:val="0"/>
        <w:i w:val="0"/>
        <w:caps w:val="0"/>
        <w:strike w:val="0"/>
        <w:vanish w:val="0"/>
        <w:sz w:val="26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53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b w:val="0"/>
        <w:i w:val="0"/>
        <w:caps w:val="0"/>
        <w:strike w:val="0"/>
        <w:vanish w:val="0"/>
        <w:sz w:val="26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b w:val="0"/>
        <w:i w:val="0"/>
        <w:caps w:val="0"/>
        <w:strike w:val="0"/>
        <w:vanish w:val="0"/>
        <w:sz w:val="26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13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  <w:num w:numId="16">
    <w:abstractNumId w:val="16"/>
  </w:num>
  <w:num w:numId="17">
    <w:abstractNumId w:val="15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2"/>
    <w:link w:val="858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862"/>
    <w:link w:val="859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862"/>
    <w:link w:val="860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862"/>
    <w:link w:val="861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57"/>
    <w:next w:val="857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2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7"/>
    <w:next w:val="857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2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7"/>
    <w:next w:val="857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2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7"/>
    <w:next w:val="857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2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7"/>
    <w:next w:val="857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2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62"/>
    <w:link w:val="865"/>
    <w:uiPriority w:val="10"/>
    <w:rPr>
      <w:sz w:val="48"/>
      <w:szCs w:val="48"/>
    </w:rPr>
  </w:style>
  <w:style w:type="character" w:styleId="709">
    <w:name w:val="Subtitle Char"/>
    <w:basedOn w:val="862"/>
    <w:link w:val="867"/>
    <w:uiPriority w:val="11"/>
    <w:rPr>
      <w:sz w:val="24"/>
      <w:szCs w:val="24"/>
    </w:rPr>
  </w:style>
  <w:style w:type="paragraph" w:styleId="710">
    <w:name w:val="Quote"/>
    <w:basedOn w:val="857"/>
    <w:next w:val="857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7"/>
    <w:next w:val="857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91"/>
    <w:uiPriority w:val="99"/>
  </w:style>
  <w:style w:type="character" w:styleId="715">
    <w:name w:val="Footer Char"/>
    <w:basedOn w:val="862"/>
    <w:link w:val="875"/>
    <w:uiPriority w:val="99"/>
  </w:style>
  <w:style w:type="character" w:styleId="716">
    <w:name w:val="Caption Char"/>
    <w:basedOn w:val="888"/>
    <w:link w:val="875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Footnote Text Char"/>
    <w:link w:val="911"/>
    <w:uiPriority w:val="99"/>
    <w:rPr>
      <w:sz w:val="18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62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>
    <w:name w:val="Heading 1"/>
    <w:basedOn w:val="857"/>
    <w:next w:val="857"/>
    <w:link w:val="883"/>
    <w:uiPriority w:val="9"/>
    <w:qFormat/>
    <w:pPr>
      <w:ind w:firstLine="720"/>
      <w:keepNext/>
      <w:outlineLvl w:val="0"/>
    </w:pPr>
    <w:rPr>
      <w:sz w:val="28"/>
      <w:szCs w:val="20"/>
    </w:rPr>
  </w:style>
  <w:style w:type="paragraph" w:styleId="859">
    <w:name w:val="Heading 2"/>
    <w:basedOn w:val="857"/>
    <w:next w:val="857"/>
    <w:link w:val="884"/>
    <w:uiPriority w:val="9"/>
    <w:unhideWhenUsed/>
    <w:qFormat/>
    <w:pPr>
      <w:jc w:val="both"/>
      <w:keepNext/>
      <w:tabs>
        <w:tab w:val="left" w:pos="6804" w:leader="none"/>
      </w:tabs>
      <w:outlineLvl w:val="1"/>
    </w:pPr>
    <w:rPr>
      <w:sz w:val="28"/>
      <w:szCs w:val="28"/>
    </w:rPr>
  </w:style>
  <w:style w:type="paragraph" w:styleId="860">
    <w:name w:val="Heading 3"/>
    <w:basedOn w:val="857"/>
    <w:next w:val="857"/>
    <w:link w:val="885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61">
    <w:name w:val="Heading 4"/>
    <w:basedOn w:val="857"/>
    <w:next w:val="857"/>
    <w:link w:val="886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Title"/>
    <w:basedOn w:val="857"/>
    <w:link w:val="866"/>
    <w:uiPriority w:val="99"/>
    <w:qFormat/>
    <w:pPr>
      <w:jc w:val="center"/>
    </w:pPr>
    <w:rPr>
      <w:sz w:val="32"/>
    </w:rPr>
  </w:style>
  <w:style w:type="character" w:styleId="866" w:customStyle="1">
    <w:name w:val="Заголовок Знак"/>
    <w:basedOn w:val="862"/>
    <w:link w:val="865"/>
    <w:uiPriority w:val="99"/>
    <w:rPr>
      <w:rFonts w:ascii="Times New Roman" w:hAnsi="Times New Roman" w:eastAsia="Times New Roman" w:cs="Times New Roman"/>
      <w:sz w:val="32"/>
      <w:szCs w:val="24"/>
      <w:lang w:eastAsia="ru-RU"/>
    </w:rPr>
  </w:style>
  <w:style w:type="paragraph" w:styleId="867">
    <w:name w:val="Subtitle"/>
    <w:basedOn w:val="857"/>
    <w:link w:val="868"/>
    <w:uiPriority w:val="99"/>
    <w:qFormat/>
    <w:pPr>
      <w:jc w:val="center"/>
    </w:pPr>
    <w:rPr>
      <w:b/>
      <w:bCs/>
      <w:sz w:val="32"/>
    </w:rPr>
  </w:style>
  <w:style w:type="character" w:styleId="868" w:customStyle="1">
    <w:name w:val="Подзаголовок Знак"/>
    <w:basedOn w:val="862"/>
    <w:link w:val="867"/>
    <w:uiPriority w:val="99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869">
    <w:name w:val="Balloon Text"/>
    <w:basedOn w:val="857"/>
    <w:link w:val="870"/>
    <w:uiPriority w:val="99"/>
    <w:unhideWhenUsed/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62"/>
    <w:link w:val="869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87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873">
    <w:name w:val="Table Grid"/>
    <w:basedOn w:val="86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7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Footer"/>
    <w:basedOn w:val="857"/>
    <w:link w:val="876"/>
    <w:uiPriority w:val="99"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862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>
    <w:name w:val="Body Text Indent 2"/>
    <w:basedOn w:val="857"/>
    <w:link w:val="878"/>
    <w:uiPriority w:val="99"/>
    <w:pPr>
      <w:ind w:left="283"/>
      <w:spacing w:after="120" w:line="480" w:lineRule="auto"/>
    </w:pPr>
  </w:style>
  <w:style w:type="character" w:styleId="878" w:customStyle="1">
    <w:name w:val="Основной текст с отступом 2 Знак"/>
    <w:basedOn w:val="862"/>
    <w:link w:val="87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>
    <w:name w:val="Body Text Indent"/>
    <w:basedOn w:val="857"/>
    <w:link w:val="880"/>
    <w:uiPriority w:val="99"/>
    <w:pPr>
      <w:ind w:left="283"/>
      <w:spacing w:after="120"/>
    </w:pPr>
  </w:style>
  <w:style w:type="character" w:styleId="880" w:customStyle="1">
    <w:name w:val="Основной текст с отступом Знак"/>
    <w:basedOn w:val="862"/>
    <w:link w:val="87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>
    <w:name w:val="Body Text"/>
    <w:basedOn w:val="857"/>
    <w:link w:val="882"/>
    <w:uiPriority w:val="99"/>
    <w:unhideWhenUsed/>
    <w:pPr>
      <w:spacing w:after="120"/>
    </w:pPr>
  </w:style>
  <w:style w:type="character" w:styleId="882" w:customStyle="1">
    <w:name w:val="Основной текст Знак"/>
    <w:basedOn w:val="862"/>
    <w:link w:val="88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3" w:customStyle="1">
    <w:name w:val="Заголовок 1 Знак"/>
    <w:basedOn w:val="862"/>
    <w:link w:val="858"/>
    <w:uiPriority w:val="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4" w:customStyle="1">
    <w:name w:val="Заголовок 2 Знак"/>
    <w:basedOn w:val="862"/>
    <w:link w:val="859"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85" w:customStyle="1">
    <w:name w:val="Заголовок 3 Знак"/>
    <w:basedOn w:val="862"/>
    <w:link w:val="860"/>
    <w:uiPriority w:val="9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886" w:customStyle="1">
    <w:name w:val="Заголовок 4 Знак"/>
    <w:basedOn w:val="862"/>
    <w:link w:val="861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887">
    <w:name w:val="Hyperlink"/>
    <w:uiPriority w:val="99"/>
    <w:rPr>
      <w:color w:val="0000ff"/>
      <w:u w:val="single"/>
    </w:rPr>
  </w:style>
  <w:style w:type="paragraph" w:styleId="888">
    <w:name w:val="Caption"/>
    <w:basedOn w:val="857"/>
    <w:next w:val="857"/>
    <w:qFormat/>
    <w:pPr>
      <w:jc w:val="center"/>
      <w:spacing w:after="240"/>
    </w:pPr>
    <w:rPr>
      <w:sz w:val="36"/>
      <w:szCs w:val="36"/>
    </w:rPr>
  </w:style>
  <w:style w:type="paragraph" w:styleId="889">
    <w:name w:val="Body Text Indent 3"/>
    <w:basedOn w:val="857"/>
    <w:link w:val="890"/>
    <w:uiPriority w:val="99"/>
    <w:unhideWhenUsed/>
    <w:pPr>
      <w:ind w:left="283"/>
      <w:spacing w:after="120"/>
    </w:pPr>
    <w:rPr>
      <w:sz w:val="16"/>
      <w:szCs w:val="16"/>
    </w:rPr>
  </w:style>
  <w:style w:type="character" w:styleId="890" w:customStyle="1">
    <w:name w:val="Основной текст с отступом 3 Знак"/>
    <w:basedOn w:val="862"/>
    <w:link w:val="889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91">
    <w:name w:val="Header"/>
    <w:basedOn w:val="857"/>
    <w:link w:val="892"/>
    <w:uiPriority w:val="99"/>
    <w:pPr>
      <w:tabs>
        <w:tab w:val="center" w:pos="4536" w:leader="none"/>
        <w:tab w:val="right" w:pos="9072" w:leader="none"/>
      </w:tabs>
    </w:pPr>
    <w:rPr>
      <w:szCs w:val="20"/>
      <w:lang w:eastAsia="en-US"/>
    </w:rPr>
  </w:style>
  <w:style w:type="character" w:styleId="892" w:customStyle="1">
    <w:name w:val="Верхний колонтитул Знак"/>
    <w:basedOn w:val="862"/>
    <w:link w:val="891"/>
    <w:uiPriority w:val="99"/>
    <w:rPr>
      <w:rFonts w:ascii="Times New Roman" w:hAnsi="Times New Roman" w:eastAsia="Times New Roman" w:cs="Times New Roman"/>
      <w:sz w:val="24"/>
      <w:szCs w:val="20"/>
    </w:rPr>
  </w:style>
  <w:style w:type="paragraph" w:styleId="893">
    <w:name w:val="List Paragraph"/>
    <w:basedOn w:val="857"/>
    <w:uiPriority w:val="34"/>
    <w:qFormat/>
    <w:pPr>
      <w:contextualSpacing/>
      <w:ind w:left="720"/>
    </w:pPr>
    <w:rPr>
      <w:sz w:val="20"/>
      <w:szCs w:val="20"/>
      <w:lang w:eastAsia="en-US"/>
    </w:rPr>
  </w:style>
  <w:style w:type="paragraph" w:styleId="894">
    <w:name w:val="Body Text 2"/>
    <w:basedOn w:val="857"/>
    <w:link w:val="895"/>
    <w:uiPriority w:val="99"/>
    <w:semiHidden/>
    <w:unhideWhenUsed/>
    <w:pPr>
      <w:spacing w:after="120" w:line="480" w:lineRule="auto"/>
    </w:pPr>
    <w:rPr>
      <w:sz w:val="20"/>
      <w:szCs w:val="20"/>
    </w:rPr>
  </w:style>
  <w:style w:type="character" w:styleId="895" w:customStyle="1">
    <w:name w:val="Основной текст 2 Знак"/>
    <w:basedOn w:val="862"/>
    <w:link w:val="89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6">
    <w:name w:val="List 2"/>
    <w:basedOn w:val="857"/>
    <w:pPr>
      <w:ind w:left="566" w:hanging="283"/>
    </w:pPr>
    <w:rPr>
      <w:sz w:val="20"/>
      <w:szCs w:val="20"/>
    </w:rPr>
  </w:style>
  <w:style w:type="paragraph" w:styleId="897">
    <w:name w:val="Normal (Web)"/>
    <w:basedOn w:val="857"/>
    <w:pPr>
      <w:spacing w:after="150"/>
    </w:pPr>
    <w:rPr>
      <w:rFonts w:ascii="Arial Unicode MS" w:hAnsi="Arial Unicode MS" w:eastAsia="Arial Unicode MS" w:cs="Arial Unicode MS"/>
      <w:color w:val="282828"/>
      <w:sz w:val="18"/>
      <w:szCs w:val="18"/>
    </w:rPr>
  </w:style>
  <w:style w:type="paragraph" w:styleId="898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99" w:customStyle="1">
    <w:name w:val="ConsPlusCell"/>
    <w:uiPriority w:val="99"/>
    <w:pPr>
      <w:spacing w:after="0" w:line="240" w:lineRule="auto"/>
    </w:pPr>
    <w:rPr>
      <w:rFonts w:ascii="Arial" w:hAnsi="Arial" w:eastAsia="Calibri" w:cs="Arial"/>
      <w:sz w:val="20"/>
      <w:szCs w:val="20"/>
    </w:rPr>
  </w:style>
  <w:style w:type="character" w:styleId="900" w:customStyle="1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styleId="901" w:customStyle="1">
    <w:name w:val="textspanview"/>
  </w:style>
  <w:style w:type="character" w:styleId="902">
    <w:name w:val="Strong"/>
    <w:uiPriority w:val="22"/>
    <w:qFormat/>
    <w:rPr>
      <w:rFonts w:ascii="Verdana" w:hAnsi="Verdana"/>
      <w:b/>
      <w:bCs/>
    </w:rPr>
  </w:style>
  <w:style w:type="character" w:styleId="903" w:customStyle="1">
    <w:name w:val="Основной текст (2)_"/>
    <w:link w:val="904"/>
    <w:uiPriority w:val="99"/>
    <w:rPr>
      <w:shd w:val="clear" w:color="auto" w:fill="ffffff"/>
    </w:rPr>
  </w:style>
  <w:style w:type="paragraph" w:styleId="904" w:customStyle="1">
    <w:name w:val="Основной текст (2)"/>
    <w:basedOn w:val="857"/>
    <w:link w:val="903"/>
    <w:uiPriority w:val="99"/>
    <w:pPr>
      <w:jc w:val="center"/>
      <w:spacing w:after="60"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05" w:customStyle="1">
    <w:name w:val="Абзац списка1"/>
    <w:basedOn w:val="857"/>
    <w:pPr>
      <w:contextualSpacing/>
      <w:ind w:left="720"/>
    </w:pPr>
    <w:rPr>
      <w:rFonts w:eastAsia="Calibri"/>
      <w:szCs w:val="20"/>
      <w:lang w:eastAsia="en-US"/>
    </w:rPr>
  </w:style>
  <w:style w:type="paragraph" w:styleId="906" w:customStyle="1">
    <w:name w:val="msonormalcxspmiddle"/>
    <w:basedOn w:val="857"/>
    <w:pPr>
      <w:spacing w:before="100" w:beforeAutospacing="1" w:after="100" w:afterAutospacing="1"/>
    </w:pPr>
  </w:style>
  <w:style w:type="paragraph" w:styleId="907" w:customStyle="1">
    <w:name w:val="csd270a203"/>
    <w:basedOn w:val="857"/>
    <w:pPr>
      <w:jc w:val="both"/>
    </w:pPr>
  </w:style>
  <w:style w:type="character" w:styleId="908" w:customStyle="1">
    <w:name w:val="cs4b8b7c311"/>
    <w:rPr>
      <w:rFonts w:hint="default" w:ascii="Times New Roman" w:hAnsi="Times New Roman" w:cs="Times New Roman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numbering" w:styleId="909" w:customStyle="1">
    <w:name w:val="Стиль1"/>
    <w:uiPriority w:val="99"/>
    <w:pPr>
      <w:numPr>
        <w:ilvl w:val="0"/>
        <w:numId w:val="7"/>
      </w:numPr>
    </w:pPr>
  </w:style>
  <w:style w:type="character" w:styleId="910">
    <w:name w:val="Emphasis"/>
    <w:uiPriority w:val="20"/>
    <w:qFormat/>
    <w:rPr>
      <w:i/>
      <w:iCs/>
    </w:rPr>
  </w:style>
  <w:style w:type="paragraph" w:styleId="911">
    <w:name w:val="footnote text"/>
    <w:basedOn w:val="857"/>
    <w:link w:val="912"/>
    <w:uiPriority w:val="99"/>
    <w:semiHidden/>
    <w:unhideWhenUsed/>
    <w:rPr>
      <w:rFonts w:ascii="Calibri" w:hAnsi="Calibri" w:eastAsia="Calibri"/>
      <w:sz w:val="20"/>
      <w:szCs w:val="20"/>
      <w:lang w:eastAsia="en-US"/>
    </w:rPr>
  </w:style>
  <w:style w:type="character" w:styleId="912" w:customStyle="1">
    <w:name w:val="Текст сноски Знак"/>
    <w:basedOn w:val="862"/>
    <w:link w:val="911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13">
    <w:name w:val="footnote reference"/>
    <w:uiPriority w:val="99"/>
    <w:semiHidden/>
    <w:unhideWhenUsed/>
    <w:rPr>
      <w:vertAlign w:val="superscript"/>
    </w:rPr>
  </w:style>
  <w:style w:type="numbering" w:styleId="914" w:customStyle="1">
    <w:name w:val="Нет списка1"/>
    <w:next w:val="864"/>
    <w:uiPriority w:val="99"/>
    <w:semiHidden/>
    <w:unhideWhenUsed/>
  </w:style>
  <w:style w:type="table" w:styleId="915" w:customStyle="1">
    <w:name w:val="Сетка таблицы1"/>
    <w:basedOn w:val="863"/>
    <w:next w:val="87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Абзац списка2"/>
    <w:basedOn w:val="857"/>
    <w:pPr>
      <w:contextualSpacing/>
      <w:ind w:left="720"/>
    </w:pPr>
    <w:rPr>
      <w:rFonts w:eastAsia="Calibri"/>
      <w:szCs w:val="20"/>
      <w:lang w:eastAsia="en-US"/>
    </w:rPr>
  </w:style>
  <w:style w:type="character" w:styleId="917">
    <w:name w:val="Unresolved Mention"/>
    <w:basedOn w:val="86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old.nogliki-adm.ru/documents/ksp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E583-9510-4347-BF7A-45E51618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65</cp:revision>
  <dcterms:created xsi:type="dcterms:W3CDTF">2023-02-07T04:02:00Z</dcterms:created>
  <dcterms:modified xsi:type="dcterms:W3CDTF">2025-03-24T06:23:09Z</dcterms:modified>
</cp:coreProperties>
</file>