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  <w:jc w:val="right"/>
        <w:outlineLvl w:val="0"/>
      </w:pPr>
      <w:r>
        <w:t xml:space="preserve">Утвержден</w:t>
      </w:r>
      <w:r/>
    </w:p>
    <w:p>
      <w:pPr>
        <w:pStyle w:val="862"/>
        <w:jc w:val="right"/>
      </w:pPr>
      <w:r>
        <w:t xml:space="preserve">приказом </w:t>
      </w:r>
      <w:r>
        <w:t xml:space="preserve">Контрольно-счетной палаты</w:t>
      </w:r>
      <w:r/>
    </w:p>
    <w:p>
      <w:pPr>
        <w:pStyle w:val="862"/>
        <w:jc w:val="right"/>
      </w:pPr>
      <w:r>
        <w:t xml:space="preserve">муниципального образования</w:t>
      </w:r>
      <w:r/>
    </w:p>
    <w:p>
      <w:pPr>
        <w:pStyle w:val="862"/>
        <w:jc w:val="right"/>
      </w:pPr>
      <w:r>
        <w:t xml:space="preserve">«Городской округ Ногликский»</w:t>
      </w:r>
      <w:r/>
    </w:p>
    <w:p>
      <w:pPr>
        <w:pStyle w:val="862"/>
        <w:jc w:val="right"/>
      </w:pPr>
      <w:r>
        <w:t xml:space="preserve">от </w:t>
      </w:r>
      <w:r>
        <w:t xml:space="preserve">2</w:t>
      </w:r>
      <w:r>
        <w:t xml:space="preserve">8.12.2024 N </w:t>
      </w:r>
      <w:r>
        <w:t xml:space="preserve">19</w:t>
      </w:r>
      <w:r/>
    </w:p>
    <w:p>
      <w:pPr>
        <w:pStyle w:val="862"/>
        <w:jc w:val="both"/>
      </w:pPr>
      <w:r/>
      <w:r/>
    </w:p>
    <w:p>
      <w:pPr>
        <w:pStyle w:val="863"/>
        <w:ind w:left="-567" w:right="0" w:firstLine="0"/>
        <w:jc w:val="both"/>
      </w:pPr>
      <w:r>
        <w:t xml:space="preserve">ПОРЯДОК ИСПОЛНЕНИЯ БЮДЖЕТНЫХ ПОЛНОМОЧИЙ ГЛАВНОГО АДМИНИСТРАТОРА (АДМИНИСТРАТОРА) ДОХОДОВ МЕСТНОГО БЮДЖЕТА КОНТРОЛЬНО-СЧЕТНОЙ ПАЛАТОЙ МУНИЦИПАЛЬНОГО ОБРАЗОВАНИЯ НОГЛИКСКИЙ МУНИЦИПАЛЬНЫЙ ОКРУГ САХАЛИНСКОЙ ОБЛАСТИ</w:t>
      </w:r>
      <w:r/>
    </w:p>
    <w:p>
      <w:pPr>
        <w:pStyle w:val="863"/>
        <w:ind w:left="-567" w:right="0" w:firstLine="0"/>
        <w:jc w:val="center"/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3"/>
        <w:ind w:left="-567" w:right="0" w:firstLine="0"/>
        <w:jc w:val="center"/>
        <w:rPr>
          <w:highlight w:val="none"/>
        </w:rPr>
        <w:outlineLvl w:val="1"/>
      </w:pPr>
      <w:r>
        <w:t xml:space="preserve">1.Общие положения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left="-567" w:right="0" w:firstLine="0"/>
        <w:jc w:val="both"/>
      </w:pPr>
      <w:r/>
      <w:r/>
    </w:p>
    <w:p>
      <w:pPr>
        <w:pStyle w:val="862"/>
        <w:ind w:left="-567" w:right="0" w:firstLine="567"/>
        <w:jc w:val="both"/>
        <w:rPr>
          <w:highlight w:val="none"/>
        </w:rPr>
      </w:pPr>
      <w:r>
        <w:t xml:space="preserve">Настоящий Порядок разработан на основании статьи 160.1 Бюджетног</w:t>
      </w:r>
      <w:r>
        <w:t xml:space="preserve">о кодекса Российской Федерации</w:t>
      </w:r>
      <w:r>
        <w:t xml:space="preserve"> и устанавливает общие правила исполнения бюджетных полномочий главного администратора (администратора) доходов местного бюджета Контрольно-счетной палатой муниицпального образования Ногликский муниицпальный округ Сахалинской области (далее – КСП).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left="-567" w:right="0" w:firstLine="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left="-567" w:right="0" w:firstLine="0"/>
        <w:jc w:val="center"/>
        <w:rPr>
          <w:b/>
          <w:bCs/>
          <w:highlight w:val="none"/>
        </w:rPr>
      </w:pPr>
      <w:r>
        <w:rPr>
          <w:b/>
          <w:bCs/>
          <w:highlight w:val="none"/>
          <w:lang w:val="ru-RU"/>
        </w:rPr>
        <w:t xml:space="preserve">2</w:t>
      </w:r>
      <w:r>
        <w:rPr>
          <w:b/>
          <w:bCs/>
          <w:highlight w:val="none"/>
          <w:lang w:val="en-US"/>
        </w:rPr>
        <w:t xml:space="preserve">.</w:t>
      </w:r>
      <w:r>
        <w:rPr>
          <w:b/>
          <w:bCs/>
          <w:highlight w:val="none"/>
        </w:rPr>
        <w:t xml:space="preserve">Бюджетные полномочия главного администратора (администратора)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62"/>
        <w:ind w:left="-567" w:right="0" w:firstLine="0"/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  <w:t xml:space="preserve">доходов местного бюджета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62"/>
        <w:ind w:left="-567" w:right="0" w:firstLine="567"/>
        <w:jc w:val="both"/>
        <w:spacing w:line="240" w:lineRule="auto"/>
        <w:rPr>
          <w:highlight w:val="none"/>
        </w:rPr>
      </w:pPr>
      <w:r>
        <w:rPr>
          <w:highlight w:val="none"/>
        </w:rPr>
        <w:t xml:space="preserve">2.1. Исполнение бюджетных полномочий главного администратора доходов местного бюджета осуществляется КСП с учетом  следующих  прав:</w:t>
      </w:r>
      <w:r>
        <w:rPr>
          <w:highlight w:val="none"/>
        </w:rPr>
      </w:r>
      <w:r>
        <w:rPr>
          <w:highlight w:val="none"/>
        </w:rPr>
      </w:r>
    </w:p>
    <w:p>
      <w:pPr>
        <w:pStyle w:val="698"/>
        <w:numPr>
          <w:ilvl w:val="0"/>
          <w:numId w:val="12"/>
        </w:numPr>
        <w:ind w:left="-567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представляет в финансовое управление муниципального образования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Ногликский муниципальный ок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руг Сахалинской области (далее – финансовое управление) сведения, необходимые для составления среднесрочного финансового плана и (или) проекта бюджета, прогноз поступления доходов местного бюджета в сроки и по формам, установленными финансовым управлением;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98"/>
        <w:numPr>
          <w:ilvl w:val="0"/>
          <w:numId w:val="12"/>
        </w:numPr>
        <w:ind w:left="-567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представляет сведения для составления и ведения кассового плана  исполнения местного бюджета;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98"/>
        <w:numPr>
          <w:ilvl w:val="0"/>
          <w:numId w:val="12"/>
        </w:numPr>
        <w:ind w:left="-567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формирует и представляет бюджетную отчетность главного администратора доходов бюджета,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сроки и по формам, установленными финансовым управлением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98"/>
        <w:numPr>
          <w:ilvl w:val="0"/>
          <w:numId w:val="12"/>
        </w:numPr>
        <w:ind w:left="-567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представляет перечень источников доходов местного бюдежта, реестр источников доходоа. Своевременно представляет сведения о закрепленных за ним источниках доходов местного бюджета,.для включения в перечень источников доходов местного бюджета и реестр источников доходов бюджета;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98"/>
        <w:numPr>
          <w:ilvl w:val="0"/>
          <w:numId w:val="12"/>
        </w:numPr>
        <w:ind w:left="-567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утверждает методику прогнозирования поступлений доходов в местный бюджет в соответствии с общими </w:t>
      </w:r>
      <w:hyperlink r:id="rId9" w:tooltip="https://login.consultant.ru/link/?req=doc&amp;base=LAW&amp;n=460728&amp;dst=100010&amp;field=134&amp;date=20.11.2024" w:history="1">
        <w:r>
          <w:rPr>
            <w:rStyle w:val="840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требованиями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к такой методике, установленными Правительством Российской Федерации;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698"/>
        <w:numPr>
          <w:ilvl w:val="0"/>
          <w:numId w:val="12"/>
        </w:numPr>
        <w:ind w:left="-567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-567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-567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3. Исполнение бюджетных полномочий администратора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ind w:left="-567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доходов местного бюджета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ind w:left="-567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br/>
        <w:tab/>
        <w:t xml:space="preserve">Бюджетные полномочия администратора доходов местного бюджета, их исполнение возложены на бухгалтера контрольно-счетной палаты, который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наделяется следующими правами: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Style w:val="862"/>
        <w:ind w:left="-567" w:right="0" w:firstLine="0"/>
        <w:jc w:val="both"/>
        <w:rPr>
          <w:highlight w:val="none"/>
        </w:rPr>
      </w:pPr>
      <w:r>
        <w:rPr>
          <w:highlight w:val="none"/>
        </w:rPr>
        <w:t xml:space="preserve">1) осуществляет начисление, учет и контроль за правильностью исчисления, полнотой и своевременностью осуществления платежей в местный бюджет, пеней и штрафов по ним;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left="-567" w:right="0" w:firstLine="0"/>
        <w:jc w:val="both"/>
        <w:rPr>
          <w:highlight w:val="none"/>
        </w:rPr>
      </w:pPr>
      <w:r>
        <w:rPr>
          <w:highlight w:val="none"/>
        </w:rPr>
        <w:t xml:space="preserve">2) осуществляет взыскание задолженности по платежам в местный бюджет, пеней и штрафом по ним согласно регл</w:t>
      </w:r>
      <w:r>
        <w:rPr>
          <w:highlight w:val="none"/>
        </w:rPr>
        <w:t xml:space="preserve">аменту </w:t>
      </w:r>
      <w:r>
        <w:rPr>
          <w:highlight w:val="none"/>
        </w:rPr>
        <w:t xml:space="preserve">реализации полномочий по взысканию дебиторской задолженности по платежам в местный бюджет, пеням и штрафам по ним, разработанному в соответствии с общими требованиями, установленными Министерством финансов Российской Федерации и утвержденному приказом КСП;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left="-567" w:right="0" w:firstLine="0"/>
        <w:jc w:val="both"/>
        <w:rPr>
          <w:highlight w:val="none"/>
        </w:rPr>
      </w:pPr>
      <w:r>
        <w:rPr>
          <w:highlight w:val="none"/>
        </w:rPr>
        <w:t xml:space="preserve">3) принимает решение о возврате излишне уплаченных (взысканных) платежей в местный бюджет </w:t>
      </w:r>
      <w:r>
        <w:rPr>
          <w:highlight w:val="none"/>
        </w:rPr>
        <w:t xml:space="preserve">пеням и штрафам по ни</w:t>
      </w:r>
      <w:r>
        <w:rPr>
          <w:highlight w:val="none"/>
        </w:rPr>
        <w:t xml:space="preserve">м, а также процентов за несвоевремееное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</w:t>
      </w:r>
      <w:r>
        <w:rPr>
          <w:highlight w:val="none"/>
        </w:rPr>
        <w:t xml:space="preserve">Министерством финансов Российской Федерации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left="-567" w:right="0" w:firstLine="0"/>
        <w:jc w:val="both"/>
        <w:rPr>
          <w:highlight w:val="none"/>
        </w:rPr>
      </w:pPr>
      <w:r>
        <w:rPr>
          <w:highlight w:val="none"/>
        </w:rPr>
        <w:t xml:space="preserve">4) принимает решение о зачете (уточнении) платежей в местный бюджет и представляет уведомление в орган </w:t>
      </w:r>
      <w:r>
        <w:rPr>
          <w:highlight w:val="none"/>
        </w:rPr>
        <w:t xml:space="preserve">Федерального казначейств</w:t>
      </w:r>
      <w:r>
        <w:rPr>
          <w:highlight w:val="none"/>
        </w:rPr>
        <w:t xml:space="preserve">а;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left="-567" w:right="0" w:firstLine="0"/>
        <w:jc w:val="both"/>
        <w:rPr>
          <w:highlight w:val="none"/>
        </w:rPr>
      </w:pPr>
      <w:r>
        <w:rPr>
          <w:highlight w:val="none"/>
        </w:rPr>
        <w:t xml:space="preserve">5) </w:t>
      </w:r>
      <w:r>
        <w:rPr>
          <w:highlight w:val="none"/>
        </w:rPr>
        <w:t xml:space="preserve">формирует и представляет сведения и бюджетную отчетность, необходимые для осуществления полномочий  КСП, как главного администратора доходов местного бюджета;</w:t>
      </w:r>
      <w:r>
        <w:rPr>
          <w:highlight w:val="none"/>
        </w:rPr>
      </w:r>
      <w:r>
        <w:rPr>
          <w:highlight w:val="none"/>
        </w:rPr>
      </w:r>
    </w:p>
    <w:p>
      <w:pPr>
        <w:ind w:left="-567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6)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едоставляет информацию, необходимую для уплаты денежных средств физическими и юридическими лицами платежей в местный бюджет, а также иных платежей, являющихся источниками ф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ормирования доходов местного бюджета,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0" w:tooltip="https://login.consultant.ru/link/?req=doc&amp;base=LAW&amp;n=480453&amp;dst=126&amp;field=134&amp;date=18.11.2024" w:history="1">
        <w:r>
          <w:rPr>
            <w:rStyle w:val="840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62"/>
        <w:ind w:left="-567" w:right="0" w:firstLine="0"/>
        <w:jc w:val="both"/>
        <w:rPr>
          <w:highlight w:val="none"/>
        </w:rPr>
      </w:pPr>
      <w:r>
        <w:rPr>
          <w:highlight w:val="none"/>
        </w:rPr>
        <w:t xml:space="preserve">7) принимает решение о признании безнадежной к взысканию задолженности по платежам в местный бюджет;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left="-567" w:right="0" w:firstLine="0"/>
        <w:jc w:val="both"/>
        <w:rPr>
          <w:highlight w:val="none"/>
        </w:rPr>
      </w:pPr>
      <w:r>
        <w:rPr>
          <w:highlight w:val="none"/>
        </w:rPr>
        <w:t xml:space="preserve">8) осуществляет иные бюджетные полномочия, установленные Бюджетным кодексом Российской Федерации и принятыми муниципальными правовыми актами, регулирующими бюджетные правоотношения.</w:t>
      </w:r>
      <w:r>
        <w:rPr>
          <w:highlight w:val="none"/>
        </w:rPr>
      </w:r>
      <w:r>
        <w:rPr>
          <w:highlight w:val="none"/>
        </w:rPr>
      </w:r>
    </w:p>
    <w:p>
      <w:pPr>
        <w:ind w:left="-567" w:right="0" w:firstLine="567"/>
        <w:jc w:val="both"/>
        <w:spacing w:before="0" w:after="0" w:line="288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пра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вовыми актами, наделяющих их полномочиями администратора доходов бюджета.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В случае изменения своих функций главного администратора доходов бюджета КСП доводит соответствующую информацию до финансового управления для уточнения закрепленных источников доходов местного бюджета.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left="-567" w:right="0" w:firstLine="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left="-567" w:right="0" w:firstLine="0"/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  <w:t xml:space="preserve">4. Основные положения по администрировании доходов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62"/>
        <w:ind w:left="-567" w:right="0" w:firstLine="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left="-567" w:right="0" w:firstLine="567"/>
        <w:jc w:val="both"/>
        <w:rPr>
          <w:highlight w:val="none"/>
        </w:rPr>
      </w:pPr>
      <w:r>
        <w:rPr>
          <w:highlight w:val="none"/>
        </w:rPr>
        <w:t xml:space="preserve">4.1. В целях осуществления своих бюджетных полномочий</w:t>
      </w:r>
      <w:r>
        <w:rPr>
          <w:highlight w:val="none"/>
        </w:rPr>
        <w:t xml:space="preserve"> бухгалтер контрольно-счетной палаты взаимодействует с территориальным органом Федерального казначества в соответствии с приказами Министерства финансов Российской Федерации и Федерального казначества; 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left="-567" w:right="0" w:firstLine="0"/>
        <w:jc w:val="both"/>
        <w:rPr>
          <w:highlight w:val="none"/>
        </w:rPr>
      </w:pPr>
      <w:r>
        <w:rPr>
          <w:highlight w:val="none"/>
        </w:rPr>
        <w:t xml:space="preserve">организует работу по администрированию поступлений в соответствии с требованиями бухгалтерского учета; 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left="-567" w:right="0" w:firstLine="0"/>
        <w:jc w:val="both"/>
        <w:rPr>
          <w:highlight w:val="none"/>
        </w:rPr>
      </w:pPr>
      <w:r>
        <w:rPr>
          <w:highlight w:val="none"/>
        </w:rPr>
        <w:t xml:space="preserve">осуществляет работу по обмену электронными документами с использованием квалифицированной электронно-цифоровой подписи в соответствии с заключенным довором с Управлением Федерального казначесйства по месту юридической регистрации.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left="-567" w:right="0" w:firstLine="567"/>
        <w:jc w:val="both"/>
        <w:rPr>
          <w:highlight w:val="none"/>
        </w:rPr>
      </w:pPr>
      <w:r>
        <w:rPr>
          <w:highlight w:val="none"/>
        </w:rPr>
        <w:t xml:space="preserve">4.2. Бухгалтер контрольно-счетной палаты при взаимодействии с плательщиками выполняет следующие функции: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left="-567" w:right="0" w:firstLine="0"/>
        <w:jc w:val="both"/>
        <w:rPr>
          <w:highlight w:val="none"/>
        </w:rPr>
      </w:pPr>
      <w:r>
        <w:rPr>
          <w:highlight w:val="none"/>
        </w:rPr>
        <w:t xml:space="preserve">1) доводят до плательщиков, по соответствующим доходам в местный бюджет, реквизиты платежных документов для перечисления;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left="-567" w:right="0" w:firstLine="0"/>
        <w:jc w:val="both"/>
        <w:rPr>
          <w:highlight w:val="none"/>
        </w:rPr>
      </w:pPr>
      <w:r>
        <w:rPr>
          <w:highlight w:val="none"/>
        </w:rPr>
        <w:t xml:space="preserve">2) осуществляет разъяснительную работу с плательщиками платежей в местный бюджет по вопрсам заполнения платежных документов.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left="-567" w:right="0" w:firstLine="0"/>
        <w:jc w:val="both"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9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9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9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9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9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9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9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9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9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59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59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basedOn w:val="859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basedOn w:val="859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4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8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1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5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8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2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  <w14:ligatures w14:val="none"/>
    </w:rPr>
  </w:style>
  <w:style w:type="paragraph" w:styleId="863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  <w14:ligatures w14:val="none"/>
    </w:rPr>
  </w:style>
  <w:style w:type="paragraph" w:styleId="864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  <w14:ligatures w14:val="none"/>
    </w:rPr>
  </w:style>
  <w:style w:type="paragraph" w:styleId="865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base=LAW&amp;n=460728&amp;dst=100010&amp;field=134&amp;date=20.11.2024" TargetMode="External"/><Relationship Id="rId10" Type="http://schemas.openxmlformats.org/officeDocument/2006/relationships/hyperlink" Target="https://login.consultant.ru/link/?req=doc&amp;base=LAW&amp;n=480453&amp;dst=126&amp;field=134&amp;date=18.11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revision>38</cp:revision>
  <dcterms:created xsi:type="dcterms:W3CDTF">2023-08-28T06:05:00Z</dcterms:created>
  <dcterms:modified xsi:type="dcterms:W3CDTF">2025-06-17T01:12:10Z</dcterms:modified>
</cp:coreProperties>
</file>