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Форма-(Рекомендуемый образец)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Представителю нанимателя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</w:r>
      <w:r/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pStyle w:val="833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                              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lang w:eastAsia="ru-RU"/>
        </w:rPr>
        <w:t xml:space="preserve">                                                                                                                (Ф.и.о)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jc w:val="center"/>
        <w:spacing w:before="100" w:beforeAutospacing="1" w:after="125" w:line="275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jc w:val="center"/>
        <w:spacing w:before="100" w:beforeAutospacing="1" w:after="125" w:line="2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 фактах обращения в целях склонения работника к совершению коррупционных правонарушений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25" w:line="2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(фамилия, имя, отчество)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настоящим уведомляю об обращении ко мне ____________________________ 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(дата, время и место)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гр. 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(фамилия, имя, отчество)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25" w:line="2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</w:t>
        <w:br/>
        <w:t xml:space="preserve">в целях склонения меня к совершению коррупционных действий, а именно: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(в произвольной форме изложить информацию об обстоятельствах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обращения в целях склонения к совершению коррупционны 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действий)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25" w:line="27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«____»_______________ 20___г.  ______________________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2025-05-07T04:25:28Z</dcterms:modified>
</cp:coreProperties>
</file>