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D0E" w:rsidRPr="00A22967" w:rsidRDefault="00FA5D0E" w:rsidP="00FA5D0E">
      <w:pPr>
        <w:jc w:val="center"/>
      </w:pPr>
      <w:r w:rsidRPr="00A22967">
        <w:t>ПАСПОРТ</w:t>
      </w:r>
    </w:p>
    <w:p w:rsidR="00FA5D0E" w:rsidRPr="00A22967" w:rsidRDefault="00FA5D0E" w:rsidP="00FA5D0E">
      <w:pPr>
        <w:jc w:val="center"/>
      </w:pPr>
      <w:r w:rsidRPr="00A22967">
        <w:t>МУНИЦИПАЛЬНОЙ ПРОГРАММЫ</w:t>
      </w:r>
    </w:p>
    <w:p w:rsidR="00A22967" w:rsidRDefault="00FA5D0E" w:rsidP="00FA5D0E">
      <w:pPr>
        <w:jc w:val="center"/>
        <w:rPr>
          <w:bCs/>
        </w:rPr>
      </w:pPr>
      <w:r w:rsidRPr="00A22967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хозяйства» </w:t>
      </w:r>
    </w:p>
    <w:p w:rsidR="00FA5D0E" w:rsidRPr="00A22967" w:rsidRDefault="00FA5D0E" w:rsidP="00FA5D0E">
      <w:pPr>
        <w:jc w:val="center"/>
      </w:pPr>
      <w:r w:rsidRPr="00A22967">
        <w:rPr>
          <w:bCs/>
        </w:rPr>
        <w:t>(Муниципальная Программа)*</w:t>
      </w:r>
    </w:p>
    <w:p w:rsidR="00FA5D0E" w:rsidRDefault="00FA5D0E" w:rsidP="00FA5D0E">
      <w:pPr>
        <w:ind w:firstLine="708"/>
        <w:jc w:val="both"/>
      </w:pPr>
    </w:p>
    <w:p w:rsidR="00A22967" w:rsidRPr="00A22967" w:rsidRDefault="00A22967" w:rsidP="00FA5D0E">
      <w:pPr>
        <w:ind w:firstLine="708"/>
        <w:jc w:val="both"/>
      </w:pPr>
    </w:p>
    <w:tbl>
      <w:tblPr>
        <w:tblW w:w="9488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6379"/>
      </w:tblGrid>
      <w:tr w:rsidR="00FA5D0E" w:rsidRPr="00A22967" w:rsidTr="00A22967">
        <w:tc>
          <w:tcPr>
            <w:tcW w:w="3109" w:type="dxa"/>
          </w:tcPr>
          <w:p w:rsidR="00FA5D0E" w:rsidRPr="00A22967" w:rsidRDefault="00FA5D0E" w:rsidP="00FA5D0E">
            <w:r w:rsidRPr="00A22967"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FA5D0E" w:rsidRPr="00A22967" w:rsidRDefault="00A22967" w:rsidP="00FA5D0E">
            <w:pPr>
              <w:ind w:firstLine="34"/>
              <w:jc w:val="both"/>
            </w:pPr>
            <w:r>
              <w:rPr>
                <w:iCs/>
              </w:rPr>
              <w:t xml:space="preserve">1. </w:t>
            </w:r>
            <w:r w:rsidR="00FA5D0E" w:rsidRPr="00A22967">
              <w:t>Федеральный закон от 06.10.03 № 131-ФЗ «Об общих принципах организации местного самоуправления в Российской Федерации»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  <w:rPr>
                <w:iCs/>
              </w:rPr>
            </w:pPr>
            <w:r w:rsidRPr="00A22967">
              <w:rPr>
                <w:iCs/>
              </w:rPr>
              <w:t>2. Постановление Правительства Сахалинской области от 31.05.2013 N 278 (ред. от 01.07.2014) "Об утверждении государственной программы Сахалинской области "Обеспечение населения Сахалинской области качественными услугами жилищно-коммунального хозяйства на 2014 - 2020 годы".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  <w:rPr>
                <w:iCs/>
              </w:rPr>
            </w:pPr>
            <w:r w:rsidRPr="00A22967">
              <w:rPr>
                <w:iCs/>
              </w:rPr>
              <w:t xml:space="preserve">3. </w:t>
            </w:r>
            <w:r w:rsidRPr="00A22967">
              <w:t>Постановление Правительства России от 31 декабря 2009 года № 1225 «Требования к региональным и муниципальным программам в об</w:t>
            </w:r>
            <w:r w:rsidRPr="00A22967">
              <w:rPr>
                <w:w w:val="99"/>
              </w:rPr>
              <w:t>л</w:t>
            </w:r>
            <w:r w:rsidRPr="00A22967">
              <w:t>а</w:t>
            </w:r>
            <w:r w:rsidRPr="00A22967">
              <w:rPr>
                <w:spacing w:val="-1"/>
              </w:rPr>
              <w:t>с</w:t>
            </w:r>
            <w:r w:rsidRPr="00A22967">
              <w:rPr>
                <w:w w:val="99"/>
              </w:rPr>
              <w:t>ти</w:t>
            </w:r>
            <w:r w:rsidRPr="00A22967">
              <w:rPr>
                <w:spacing w:val="19"/>
              </w:rPr>
              <w:t xml:space="preserve"> </w:t>
            </w:r>
            <w:r w:rsidRPr="00A22967">
              <w:t>энергосбережения и повышения энергетической эффективности»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A22967">
              <w:rPr>
                <w:iCs/>
              </w:rPr>
              <w:t xml:space="preserve">4. Концепция муниципальной Программы </w:t>
            </w:r>
            <w:r w:rsidRPr="00A22967">
              <w:rPr>
                <w:bCs/>
              </w:rPr>
              <w:t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решение коллегии при мэре муниципального образования «Городской округ Ногликский»  от 13.08.2014г протокол №5.</w:t>
            </w:r>
          </w:p>
        </w:tc>
      </w:tr>
      <w:tr w:rsidR="00FA5D0E" w:rsidRPr="00A22967" w:rsidTr="00A22967">
        <w:tc>
          <w:tcPr>
            <w:tcW w:w="3109" w:type="dxa"/>
          </w:tcPr>
          <w:p w:rsidR="00FA5D0E" w:rsidRPr="00A22967" w:rsidRDefault="00FA5D0E" w:rsidP="00FA5D0E">
            <w:r w:rsidRPr="00A22967">
              <w:t>Разработчик муниципальной программы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A22967"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FA5D0E" w:rsidRPr="00A22967" w:rsidTr="00A22967">
        <w:tc>
          <w:tcPr>
            <w:tcW w:w="3109" w:type="dxa"/>
          </w:tcPr>
          <w:p w:rsidR="00FA5D0E" w:rsidRPr="00A22967" w:rsidRDefault="00FA5D0E" w:rsidP="00FA5D0E">
            <w:r w:rsidRPr="00A22967">
              <w:t>Заказчик муниципальной программы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t>Администрация муниципального образования «Городской округ Ногликский»</w:t>
            </w:r>
          </w:p>
        </w:tc>
      </w:tr>
      <w:tr w:rsidR="00FA5D0E" w:rsidRPr="00A22967" w:rsidTr="00A22967">
        <w:tc>
          <w:tcPr>
            <w:tcW w:w="310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Отдел жилищно-коммунального хозяйства администрации муниципального образования «Городской округ Ногликский»</w:t>
            </w:r>
          </w:p>
        </w:tc>
      </w:tr>
      <w:tr w:rsidR="00FA5D0E" w:rsidRPr="00A22967" w:rsidTr="00A22967">
        <w:tc>
          <w:tcPr>
            <w:tcW w:w="310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t>Соисполнители муниципальной программы</w:t>
            </w:r>
          </w:p>
        </w:tc>
        <w:tc>
          <w:tcPr>
            <w:tcW w:w="6379" w:type="dxa"/>
          </w:tcPr>
          <w:p w:rsidR="00FA5D0E" w:rsidRPr="00A22967" w:rsidRDefault="00A22967" w:rsidP="00A229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Отдел строительства и архитектуры, отдел экономики администрации муниципального образования «Городской округ Ногликский», комитет по управлению муниципальным имуществом муниципального образования «Городской округ Ногликский», предприятия топливно-энергетического комплекса и коммунальной инфраструктуры, потенциальные инвесторы и исполнители по тем или иным проектам, управляющие организации и ТСЖ.</w:t>
            </w:r>
          </w:p>
        </w:tc>
      </w:tr>
      <w:tr w:rsidR="00FA5D0E" w:rsidRPr="00A22967" w:rsidTr="00A22967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310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t>Перечень подпрограмм муниципальной программы, мероприятия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1. Подпрограмма 1 «Энергосбережение и повышение энергетической эффективности»</w:t>
            </w:r>
            <w:r w:rsidR="00250F17" w:rsidRPr="00A22967">
              <w:t xml:space="preserve"> </w:t>
            </w:r>
            <w:r w:rsidRPr="00A22967">
              <w:t>(Подпрограмма</w:t>
            </w:r>
            <w:r w:rsidR="00A22967">
              <w:t xml:space="preserve"> </w:t>
            </w:r>
            <w:r w:rsidRPr="00A22967">
              <w:t>1) (приложение №3).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 xml:space="preserve">2. </w:t>
            </w:r>
            <w:r w:rsidRPr="00A22967">
              <w:rPr>
                <w:bCs/>
                <w:color w:val="000000"/>
              </w:rPr>
              <w:t>Подпрограмма 2 «Модернизация объектов коммунальной инфраструктуры» (Подпрограмма 2) (приложение №4).</w:t>
            </w:r>
            <w:r w:rsidRPr="00A22967">
              <w:t xml:space="preserve"> 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rPr>
                <w:bCs/>
                <w:color w:val="000000"/>
              </w:rPr>
              <w:t>3.</w:t>
            </w:r>
            <w:r w:rsidRPr="00A22967">
              <w:rPr>
                <w:b/>
                <w:bCs/>
                <w:color w:val="000000"/>
              </w:rPr>
              <w:t xml:space="preserve"> </w:t>
            </w:r>
            <w:r w:rsidRPr="00A22967">
              <w:rPr>
                <w:bCs/>
                <w:color w:val="000000"/>
              </w:rPr>
              <w:t>Подпрограмма 3 «Комплексный капитальный ремонт и реконструкция жилищного фонда» (Подпрограмма 3) (приложение №5).</w:t>
            </w:r>
            <w:r w:rsidRPr="00A22967">
              <w:t xml:space="preserve"> 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lastRenderedPageBreak/>
              <w:t xml:space="preserve">4. Мероприятия по формированию в коммунальном секторе благоприятных условий для реализации инвестиционных проектов </w:t>
            </w:r>
            <w:r w:rsidRPr="00A22967">
              <w:rPr>
                <w:bCs/>
                <w:color w:val="000000"/>
              </w:rPr>
              <w:t>(приложение №2).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5.</w:t>
            </w:r>
            <w:r w:rsidRPr="00A22967">
              <w:rPr>
                <w:bCs/>
                <w:color w:val="000000"/>
              </w:rPr>
              <w:t xml:space="preserve"> Мероприятия по возмещению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 (приложение №2).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rPr>
                <w:bCs/>
                <w:color w:val="000000"/>
              </w:rPr>
              <w:t>6. Мероприятия по регулированию численности безнадзорных животных (приложение №2)</w:t>
            </w:r>
          </w:p>
        </w:tc>
      </w:tr>
      <w:tr w:rsidR="00FA5D0E" w:rsidRPr="00A22967" w:rsidTr="00A22967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10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lastRenderedPageBreak/>
              <w:t>Цели муниципальной программы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1. Повышение качества и надежности предоставления жилищно-</w:t>
            </w:r>
            <w:r w:rsidR="00A22967">
              <w:t xml:space="preserve">коммунальных услуг населению, </w:t>
            </w:r>
            <w:r w:rsidRPr="00A22967">
              <w:t xml:space="preserve">обеспечение комфортной и безопасной среды обитания. 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2. Соблюдение баланса экономических интересов регулируемых организаций и потребителей их продукции (услуг).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3. Обеспечение доступности коммунальных услуг.</w:t>
            </w:r>
          </w:p>
        </w:tc>
      </w:tr>
      <w:tr w:rsidR="00FA5D0E" w:rsidRPr="00A22967" w:rsidTr="00A22967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10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</w:pPr>
            <w:r w:rsidRPr="00A22967">
              <w:t>Задачи муниципальной программы</w:t>
            </w:r>
          </w:p>
        </w:tc>
        <w:tc>
          <w:tcPr>
            <w:tcW w:w="6379" w:type="dxa"/>
          </w:tcPr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1. Улучшение качества управления и содержания общего имущества в многоквартирных домах на основе государственной поддержки объединений собственников жилья, в том числе при проведении капитального ремонта и модернизации многоквартирных домов, и развития конкуренции в сфере управления жилой недвижимостью.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 xml:space="preserve">2. Повышение надежности и эффективности производства и поставки коммунальных ресурсов на базе капитального ремонта систем коммунальной инфраструктуры и приобретении спецтехники.    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 xml:space="preserve">3. Снижение потерь энергоресурсов 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4. Развитие систем коммунальной инфраструктуры на базе новых технологий и современного оборудования.</w:t>
            </w:r>
          </w:p>
          <w:p w:rsidR="00FA5D0E" w:rsidRPr="00A22967" w:rsidRDefault="00FA5D0E" w:rsidP="00FA5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A22967">
              <w:t>5. Снижение убыточности организаций коммунального комплекса.</w:t>
            </w:r>
          </w:p>
        </w:tc>
      </w:tr>
      <w:tr w:rsidR="00C37578" w:rsidRPr="00A22967" w:rsidTr="00A22967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109" w:type="dxa"/>
          </w:tcPr>
          <w:p w:rsidR="00C37578" w:rsidRPr="00A22967" w:rsidRDefault="008E1FDE" w:rsidP="00C37578">
            <w:r>
              <w:t xml:space="preserve"> </w:t>
            </w:r>
          </w:p>
        </w:tc>
        <w:tc>
          <w:tcPr>
            <w:tcW w:w="6379" w:type="dxa"/>
          </w:tcPr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jc w:val="both"/>
            </w:pPr>
            <w:r w:rsidRPr="0011266F">
              <w:t>Общий объем финансирования муниципальной Программы в 2015 - 2025 годах составит:</w:t>
            </w:r>
          </w:p>
          <w:p w:rsidR="00A22967" w:rsidRPr="0011266F" w:rsidRDefault="008E1FDE" w:rsidP="00A22967">
            <w:pPr>
              <w:tabs>
                <w:tab w:val="left" w:pos="0"/>
                <w:tab w:val="left" w:pos="993"/>
              </w:tabs>
              <w:jc w:val="both"/>
            </w:pPr>
            <w:r w:rsidRPr="0011266F">
              <w:t>з</w:t>
            </w:r>
            <w:r w:rsidR="00A22967" w:rsidRPr="0011266F">
              <w:t xml:space="preserve">а счет всех источников финансирования – </w:t>
            </w:r>
            <w:r w:rsidR="0011266F" w:rsidRPr="0011266F">
              <w:t>2 978 304,5</w:t>
            </w:r>
            <w:r w:rsidR="00A22967" w:rsidRPr="0011266F">
              <w:t xml:space="preserve"> тыс. руб., в том числе: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2015 год – 469 499,8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2016 год – 198 790,9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2017 год – 166 220,4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2018 год – 233 225,</w:t>
            </w:r>
            <w:r w:rsidR="0011266F" w:rsidRPr="0011266F">
              <w:t>9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2019 год – </w:t>
            </w:r>
            <w:r w:rsidR="0011266F" w:rsidRPr="0011266F">
              <w:t>210 442,0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2020 год – </w:t>
            </w:r>
            <w:r w:rsidR="0011266F" w:rsidRPr="0011266F">
              <w:t>293 899,7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2021 год – </w:t>
            </w:r>
            <w:r w:rsidR="0011266F" w:rsidRPr="0011266F">
              <w:t>106 385,7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2022 год – 598</w:t>
            </w:r>
            <w:r w:rsidR="0011266F" w:rsidRPr="0011266F">
              <w:t> 815,8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2023 год – </w:t>
            </w:r>
            <w:r w:rsidR="0011266F" w:rsidRPr="0011266F">
              <w:t>238 850,1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2024 год – </w:t>
            </w:r>
            <w:r w:rsidR="0011266F" w:rsidRPr="0011266F">
              <w:t>288 942,7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2025 год – </w:t>
            </w:r>
            <w:r w:rsidR="0011266F" w:rsidRPr="0011266F">
              <w:t>173 231,5</w:t>
            </w:r>
            <w:r w:rsidRPr="0011266F">
              <w:t xml:space="preserve"> тыс. руб.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Из него по источникам: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– за счет средств областного бюджета – </w:t>
            </w:r>
            <w:r w:rsidR="0011266F" w:rsidRPr="0011266F">
              <w:t>1 945 650,8</w:t>
            </w:r>
            <w:r w:rsidRPr="0011266F">
              <w:t xml:space="preserve"> тыс. руб., в том числе: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2015 год – 380 086,6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2016 год – 110 007,9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2017 год – 75 399,6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lastRenderedPageBreak/>
              <w:t>2018 год – 132 657,6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2019 год – </w:t>
            </w:r>
            <w:r w:rsidR="008E1FDE" w:rsidRPr="0011266F">
              <w:t>151 866,8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2020 год – </w:t>
            </w:r>
            <w:r w:rsidR="008E1FDE" w:rsidRPr="0011266F">
              <w:t>227 846,2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2021 год – </w:t>
            </w:r>
            <w:r w:rsidR="008E1FDE" w:rsidRPr="0011266F">
              <w:t xml:space="preserve">      298,0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2022 год – 431 916,1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2023 год – 151 999,8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2024 год – 186 796,2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2025 год – 96 776,0 тыс. руб.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– за счет средств местного бюджета – </w:t>
            </w:r>
            <w:r w:rsidR="0011266F" w:rsidRPr="0011266F">
              <w:t>631 584,0</w:t>
            </w:r>
            <w:r w:rsidRPr="0011266F">
              <w:t xml:space="preserve"> тыс. руб., в том числе: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2015 год – 52 522,0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2016 год – 53 286,0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2017 год – 52 083,1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2018 год – 59 470,</w:t>
            </w:r>
            <w:r w:rsidR="008E1FDE" w:rsidRPr="0011266F">
              <w:t>1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2019 год – </w:t>
            </w:r>
            <w:r w:rsidR="008E1FDE" w:rsidRPr="0011266F">
              <w:t>32 067,6</w:t>
            </w:r>
            <w:r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 xml:space="preserve">2020 год – </w:t>
            </w:r>
            <w:r w:rsidR="008E1FDE" w:rsidRPr="0011266F">
              <w:t>39</w:t>
            </w:r>
            <w:r w:rsidR="0014140A">
              <w:t xml:space="preserve"> </w:t>
            </w:r>
            <w:bookmarkStart w:id="0" w:name="_GoBack"/>
            <w:bookmarkEnd w:id="0"/>
            <w:r w:rsidR="008E1FDE" w:rsidRPr="0011266F">
              <w:t>545,9</w:t>
            </w:r>
            <w:r w:rsidRPr="0011266F">
              <w:t xml:space="preserve"> тыс. руб.;</w:t>
            </w:r>
          </w:p>
          <w:p w:rsidR="00A22967" w:rsidRPr="0011266F" w:rsidRDefault="008E1FDE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2021 год – 69 196,5</w:t>
            </w:r>
            <w:r w:rsidR="00A22967" w:rsidRPr="0011266F">
              <w:t xml:space="preserve">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2022 год – 131 402,7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2023 год – 48 112,6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2024 год – 61 048,3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2025 год – 32 849,2 тыс. руб.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– за счет внебюджетных источников – 401 069,</w:t>
            </w:r>
            <w:r w:rsidR="0011266F" w:rsidRPr="0011266F">
              <w:t>7</w:t>
            </w:r>
            <w:r w:rsidRPr="0011266F">
              <w:t xml:space="preserve"> тыс. руб., в том числе: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2015 год – 36 891,2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2016 год – 35 497,0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2017 год – 38 737,7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2018 год – 41 098,2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2019 год – 26 507,6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2020 год – 26 507,6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2021 год – 36 891,2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2022 год – 35 497,0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2023 год – 38 737,7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ind w:firstLine="567"/>
              <w:jc w:val="both"/>
            </w:pPr>
            <w:r w:rsidRPr="0011266F">
              <w:t>2024 год – 41 098,2 тыс. руб.;</w:t>
            </w:r>
          </w:p>
          <w:p w:rsidR="00A22967" w:rsidRPr="0011266F" w:rsidRDefault="00A22967" w:rsidP="00A22967">
            <w:pPr>
              <w:tabs>
                <w:tab w:val="left" w:pos="0"/>
                <w:tab w:val="left" w:pos="993"/>
              </w:tabs>
              <w:jc w:val="both"/>
            </w:pPr>
            <w:r w:rsidRPr="0011266F">
              <w:t xml:space="preserve">         2025 год – 43 606,3 тыс. руб.</w:t>
            </w:r>
          </w:p>
        </w:tc>
      </w:tr>
      <w:tr w:rsidR="00C37578" w:rsidRPr="00A22967" w:rsidTr="00A22967">
        <w:tblPrEx>
          <w:tblCellMar>
            <w:left w:w="70" w:type="dxa"/>
            <w:right w:w="70" w:type="dxa"/>
          </w:tblCellMar>
        </w:tblPrEx>
        <w:trPr>
          <w:trHeight w:val="840"/>
        </w:trPr>
        <w:tc>
          <w:tcPr>
            <w:tcW w:w="3109" w:type="dxa"/>
          </w:tcPr>
          <w:p w:rsidR="00C37578" w:rsidRPr="00A22967" w:rsidRDefault="00A22967" w:rsidP="00C37578">
            <w:pPr>
              <w:tabs>
                <w:tab w:val="left" w:pos="0"/>
                <w:tab w:val="left" w:pos="993"/>
              </w:tabs>
              <w:ind w:firstLine="34"/>
              <w:jc w:val="both"/>
            </w:pPr>
            <w:r w:rsidRPr="00146365">
              <w:lastRenderedPageBreak/>
              <w:t>Целевые индикаторы (показатели)</w:t>
            </w:r>
          </w:p>
        </w:tc>
        <w:tc>
          <w:tcPr>
            <w:tcW w:w="6379" w:type="dxa"/>
          </w:tcPr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jc w:val="both"/>
            </w:pPr>
            <w:r w:rsidRPr="00146365"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2. Удельный расход электрической энергии на снабжение учреждений, финансируемых из местного бюджета (в расчете на 1 кв. метр общей площади).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3. Удельный расход тепловой энергии на снабжение учреждений, финансируемых из местного бюджета (в расчете на 1 кв. метр общей площади).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4. Удельный расход холодной воды на снабжение учреждений, финансируемых из местного бюджета (в расчете на 1 человека).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5. Удельный суммарный расход энергетических ресурсов в многоквартирных домах.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6. Доля потерь тепловой энергии при ее передаче в общем объеме переданной тепловой энергии.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lastRenderedPageBreak/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9. Количество строящихся и реконструируемых объектов.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10. Уровень износа коммунальной инфраструктуры муниципального образования.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11. Доля потерь энергоресурсов в общем объеме производимых энергоресурсов муниципального образования: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 xml:space="preserve">- тепловая энергия; 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- вода;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- электроэнергия.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:rsidR="00A22967" w:rsidRPr="00146365" w:rsidRDefault="00A22967" w:rsidP="00A22967">
            <w:pPr>
              <w:autoSpaceDE w:val="0"/>
              <w:autoSpaceDN w:val="0"/>
              <w:adjustRightInd w:val="0"/>
              <w:ind w:firstLine="9"/>
            </w:pPr>
            <w:r w:rsidRPr="00146365">
              <w:t>13.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:rsidR="00A22967" w:rsidRPr="00146365" w:rsidRDefault="00A22967" w:rsidP="00A22967">
            <w:pPr>
              <w:autoSpaceDE w:val="0"/>
              <w:autoSpaceDN w:val="0"/>
              <w:adjustRightInd w:val="0"/>
              <w:ind w:firstLine="9"/>
            </w:pPr>
            <w:r w:rsidRPr="00146365">
              <w:t>14.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:rsidR="00A22967" w:rsidRPr="00146365" w:rsidRDefault="00A22967" w:rsidP="00A22967">
            <w:pPr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15.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16.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17.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нарастающем итогом.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18.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19. Уровень собираемости платы за жилое помещение и коммунальные услуги в муниципальном образовании.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20. Доля уличной водопроводной сети, нуждающейся в замене, в суммарной протяженности уличной водопроводной сети.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 xml:space="preserve">21. Доля уличной канализационной сети, нуждающейся в </w:t>
            </w:r>
            <w:r w:rsidRPr="00146365">
              <w:lastRenderedPageBreak/>
              <w:t>замене, в суммарной протяженности уличной канализационной сети.</w:t>
            </w:r>
          </w:p>
          <w:p w:rsidR="00A22967" w:rsidRPr="00146365" w:rsidRDefault="00A22967" w:rsidP="00A22967">
            <w:pPr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22. Доля обновленной базы спецтехники в общем объеме спецтехники муниципального образования.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23. Количество аварий на инженерных сетях.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24. Количество отремонтированных и реконструированных объектов электроснабжения: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- ЛЭП 0,4-35 кВ;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- ТП, ПС, РП 6-35 кВ.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25. Количество аварий на газопроводе.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26. Доля убыточных предприятий жилищно-коммунального хозяйства.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27. Количество безнадзорных животных.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28. Количество отловленных безнадзорных животных.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  <w:rPr>
                <w:rStyle w:val="a3"/>
                <w:i w:val="0"/>
                <w:iCs w:val="0"/>
              </w:rPr>
            </w:pPr>
            <w:r w:rsidRPr="00146365">
              <w:rPr>
                <w:rStyle w:val="a3"/>
                <w:i w:val="0"/>
                <w:iCs w:val="0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29. Уровень износа коммунальной инфраструктуры.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30. Количество аварий на инженерных сетях.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 xml:space="preserve">31. Доля воды, пропущенной через очистные сооружения, в общем количестве воды, поданной в сеть. 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32. Доля сточных вод, очищенных до нормативных значений, в общем объеме сточных вод, пропущенных через очистные сооружения.</w:t>
            </w:r>
          </w:p>
          <w:p w:rsidR="00C37578" w:rsidRPr="00A22967" w:rsidRDefault="00A22967" w:rsidP="00A22967">
            <w:pPr>
              <w:widowControl w:val="0"/>
              <w:autoSpaceDE w:val="0"/>
              <w:autoSpaceDN w:val="0"/>
              <w:adjustRightInd w:val="0"/>
              <w:jc w:val="both"/>
            </w:pPr>
            <w:r w:rsidRPr="00146365">
              <w:t>33.  Количество строящихся и реконструированных объектов.</w:t>
            </w:r>
          </w:p>
        </w:tc>
      </w:tr>
      <w:tr w:rsidR="00A22967" w:rsidRPr="00A22967" w:rsidTr="00A22967">
        <w:tblPrEx>
          <w:tblCellMar>
            <w:left w:w="70" w:type="dxa"/>
            <w:right w:w="70" w:type="dxa"/>
          </w:tblCellMar>
        </w:tblPrEx>
        <w:trPr>
          <w:trHeight w:val="539"/>
        </w:trPr>
        <w:tc>
          <w:tcPr>
            <w:tcW w:w="3109" w:type="dxa"/>
          </w:tcPr>
          <w:p w:rsidR="00A22967" w:rsidRPr="00A22967" w:rsidRDefault="00A22967" w:rsidP="00A22967">
            <w:pPr>
              <w:widowControl w:val="0"/>
              <w:autoSpaceDE w:val="0"/>
              <w:autoSpaceDN w:val="0"/>
              <w:adjustRightInd w:val="0"/>
            </w:pPr>
            <w:r w:rsidRPr="00A22967">
              <w:lastRenderedPageBreak/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Срок реализации: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Подпрограмма 1 - 2015 - 2025 годы: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 этап – 2015-2020 годы;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 xml:space="preserve">2 этап – 2021-2025 годы. 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Подпрограмма 2 - 2015 - 2025 годы: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 этап – 2015-2020 годы;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 этап – 2021-2025 годы.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Подпрограмма 3 - 2015 - 2025 годы: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 этап – 2015-2020 годы;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 этап 2021-2025 годы.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Мероприятия муниципальной Программы - 2015 - 2025 годы: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1 этап – 2015-2020 годы;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 этап – 2021-2025 годы.</w:t>
            </w:r>
          </w:p>
        </w:tc>
      </w:tr>
      <w:tr w:rsidR="00C37578" w:rsidRPr="00A22967" w:rsidTr="00A22967">
        <w:tblPrEx>
          <w:tblCellMar>
            <w:left w:w="70" w:type="dxa"/>
            <w:right w:w="70" w:type="dxa"/>
          </w:tblCellMar>
        </w:tblPrEx>
        <w:trPr>
          <w:trHeight w:val="4396"/>
        </w:trPr>
        <w:tc>
          <w:tcPr>
            <w:tcW w:w="3109" w:type="dxa"/>
          </w:tcPr>
          <w:p w:rsidR="00C37578" w:rsidRPr="00A22967" w:rsidRDefault="00C37578" w:rsidP="00C37578">
            <w:pPr>
              <w:tabs>
                <w:tab w:val="left" w:pos="0"/>
                <w:tab w:val="left" w:pos="993"/>
              </w:tabs>
              <w:ind w:firstLine="34"/>
              <w:jc w:val="both"/>
            </w:pPr>
            <w:r w:rsidRPr="00A22967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379" w:type="dxa"/>
          </w:tcPr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jc w:val="both"/>
            </w:pPr>
            <w:r w:rsidRPr="00146365"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 ежегодно должна составлять не менее 100,0%.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 с 145,8 кВт ч/м</w:t>
            </w:r>
            <w:r w:rsidRPr="00146365">
              <w:rPr>
                <w:vertAlign w:val="superscript"/>
              </w:rPr>
              <w:t>2</w:t>
            </w:r>
            <w:r w:rsidRPr="00146365">
              <w:t xml:space="preserve"> до 134,5 кВт ч/м</w:t>
            </w:r>
            <w:r w:rsidRPr="00146365">
              <w:rPr>
                <w:vertAlign w:val="superscript"/>
              </w:rPr>
              <w:t>2</w:t>
            </w:r>
            <w:r w:rsidRPr="00146365">
              <w:t>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3. Снижение удельного расхода тепловой энергии на снабжение учреждений, финансируемых из местного бюджета (в расчете на 1 кв. метр общей площади) с 0,29 Гкал/м</w:t>
            </w:r>
            <w:r w:rsidRPr="00146365">
              <w:rPr>
                <w:vertAlign w:val="superscript"/>
              </w:rPr>
              <w:t>2</w:t>
            </w:r>
            <w:r w:rsidRPr="00146365">
              <w:t xml:space="preserve"> до 0,26 Гкал/м</w:t>
            </w:r>
            <w:r w:rsidRPr="00146365">
              <w:rPr>
                <w:vertAlign w:val="superscript"/>
              </w:rPr>
              <w:t>2</w:t>
            </w:r>
            <w:r w:rsidRPr="00146365">
              <w:t>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4. Снижение удельного расхода холодной воды на снабжение учреждений, финансируемых из местного бюджета (в расчете на 1 человека) с 1,37 м</w:t>
            </w:r>
            <w:r w:rsidRPr="00146365">
              <w:rPr>
                <w:vertAlign w:val="superscript"/>
              </w:rPr>
              <w:t>3</w:t>
            </w:r>
            <w:r w:rsidRPr="00146365">
              <w:t>/чел до 1,25 м</w:t>
            </w:r>
            <w:r w:rsidRPr="00146365">
              <w:rPr>
                <w:vertAlign w:val="superscript"/>
              </w:rPr>
              <w:t>3</w:t>
            </w:r>
            <w:r w:rsidRPr="00146365">
              <w:t>/чел.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5. Удельный суммарный расход энергетических ресурсов в многоквартирных домах ежегодно должен составлять не более 0,04 т.у.т./м</w:t>
            </w:r>
            <w:r w:rsidRPr="00146365">
              <w:rPr>
                <w:vertAlign w:val="superscript"/>
              </w:rPr>
              <w:t>2</w:t>
            </w:r>
            <w:r w:rsidRPr="00146365">
              <w:t>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6. Снижение доли потерь тепловой энергии при ее передаче в общем объеме переданной тепловой энергии с 19,3% до 18,3%.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 с 29,8% до 30,5%.</w:t>
            </w:r>
          </w:p>
          <w:p w:rsidR="00A22967" w:rsidRPr="00146365" w:rsidRDefault="00A22967" w:rsidP="00A22967">
            <w:pPr>
              <w:widowControl w:val="0"/>
              <w:autoSpaceDE w:val="0"/>
              <w:autoSpaceDN w:val="0"/>
              <w:adjustRightInd w:val="0"/>
              <w:ind w:firstLine="9"/>
              <w:jc w:val="both"/>
            </w:pPr>
            <w:r w:rsidRPr="00146365">
      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 с 57,5% до 60,5%.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9. Количество строящихся и реконструируемых объектов в 2015 году -3 единицы; в 2016 году- 1 единица; в 2017 году – 0 единиц.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10. Снижение уровня износа коммунальной инфраструктуры с 37,9 % до 18,4%.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11. Снижение доли потерь энергоресурсов в общем объеме производимых энергоресурсов муниципального образования: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- тепловая энергия с 19,8 % до 19,4%;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- вода с 56,0% до 40,2%;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- электроэнергия – 27,0 % до 16,0%.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12. Увеличение доли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с 38,0 % до 50,0 %. 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13. Увеличение доли многоквартирных домов, в которых заменены внутридомовые инженерные сети от общего количества многоквартирных домов муниципального образования с 17,8 % до 60,5 %.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14. Увеличение доли многоквартирных домов, в которых </w:t>
            </w:r>
            <w:r w:rsidRPr="00146365">
              <w:lastRenderedPageBreak/>
              <w:t>отремонтированы кровли и утеплены фасады от общего количества многоквартирных домов муниципального образования с 38,3 % до 58,0 %.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 должна составлять 100%.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16. Доля капитально отремонтированных многоквартирных домов в общем количестве многоквартирных домов, построенных до 2000 года: в 2015 году – 3,0%, в 2016 году – 3,0%.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17. Увеличение доли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с 26,8% в 2017 году до 35,7% в 2025 году. 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18. Увеличение доли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19. Увеличение уровня собираемости платы за жилое помещение и коммунальные услуги в муниципальном образовании с 93,0% до 95,5%.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20. Снижение доли уличной водопроводной сети, нуждающейся в замене, в суммарной протяженности уличной водопроводной сети с 12,45%, до 4,4%.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21. Доля уличной канализационной сети, нуждающейся в замене, в суммарной протяженности уличной канализационной сети в 2015 году - 0%, в 2025 году - 0%.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22. Увеличение доли обновленной базы спецтехники в общем объеме спецтехники муниципального образования с 62% до 70%.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23. Снижение количества аварий на инженерных сетях с 129 ед. до 4 ед.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24. Количество отремонтированных и реконструированных объектов электроснабжения: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- ЛЭП 0,4-35 кВ – 22,5 км., в том числе: в 2018 году – 9,8 км., в 2019 году – 2,2 км., в 2020 году – 2,0 км., 2021 году – 1,9 км., в 2022 году – 1,8 км., в 2023 году – 1,7 км., в 2024 году – 1,6 км., 2025 году – 1,5 км.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- ТП, ПС, РП 6-35 кВ – 7 шт., в том числе: в 2019 году – 1 шт., в 2020 году – 1 шт., в 2021 году – 1 шт., в 2022 году – 1 шт., в 2023 году – 1 шт., в 2024 году – 1 шт., 2025 году – 1 шт.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25. Количество аварий на газопроводе: 2018 год – 0 ед., 2019 год – 0 ед., 2020 год - 0 ед., 2021 год – 0 ед., 2022 год – 0 ед., 2023 год – 0 ед., 2024 год – 0 ед., 2025 год – 0 ед. 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26. Доля убыточных предприятий жилищно-коммунального </w:t>
            </w:r>
            <w:r w:rsidRPr="00146365">
              <w:lastRenderedPageBreak/>
              <w:t>хозяйства в 2015 году - 0%, в 2025 году - 0%.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27. Снижение количества безнадзорных животных с 850 ед. в 2015 году, до 550 ед.- в 2017 году.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 xml:space="preserve">28. Количество отловленных животных не менее 1 930,0 шт., в том числе: в 2018 году - 250 особей, в 2019 году 250 особей, в 2020 году - 180 особей, в 2021 году – 250 особей, в 2022 году – 250 особей, в 2023 году – 250 особей, в 2024 году – 250 особей, в 2025 году – 250 особей. 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  <w:rPr>
                <w:iCs/>
              </w:rPr>
            </w:pPr>
            <w:r w:rsidRPr="00146365">
              <w:rPr>
                <w:iCs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29. Снижение уровня износа коммунальной инфраструктуры с 7,6% в 2015 году до 1,5% в 2016 году.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30. Снижение количества аварий на инженерных сетях с 28 ед. в 2015 году до 26 ед. в 2016 году.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31. Доля воды, пропущенной через очистные сооружения, в общей доле количества воды, поданной в сеть должна составлять не менее 95%.</w:t>
            </w:r>
          </w:p>
          <w:p w:rsidR="00A22967" w:rsidRPr="00146365" w:rsidRDefault="00A22967" w:rsidP="00A22967">
            <w:pPr>
              <w:tabs>
                <w:tab w:val="left" w:pos="0"/>
                <w:tab w:val="left" w:pos="993"/>
              </w:tabs>
              <w:ind w:firstLine="9"/>
              <w:jc w:val="both"/>
            </w:pPr>
            <w:r w:rsidRPr="00146365">
              <w:t>32. Доля сточных вод, очищенных до нормативных значений, в общем объеме сточных вод, пропущенных через очистные сооружения должна составлять 100%.</w:t>
            </w:r>
          </w:p>
          <w:p w:rsidR="00A22967" w:rsidRPr="00A22967" w:rsidRDefault="00A22967" w:rsidP="00A22967">
            <w:pPr>
              <w:tabs>
                <w:tab w:val="left" w:pos="0"/>
                <w:tab w:val="left" w:pos="993"/>
              </w:tabs>
              <w:ind w:firstLine="34"/>
              <w:jc w:val="both"/>
            </w:pPr>
            <w:r w:rsidRPr="00146365">
              <w:t>33. Количество строящихся и реконструируемых объектов с 2018 года по 2022 год– 1 единиц (плановый срок ввода объекта в эксплуатацию 202 год).</w:t>
            </w:r>
          </w:p>
        </w:tc>
      </w:tr>
    </w:tbl>
    <w:p w:rsidR="00FA5D0E" w:rsidRPr="00A22967" w:rsidRDefault="00FA5D0E" w:rsidP="00FA5D0E">
      <w:pPr>
        <w:jc w:val="both"/>
        <w:rPr>
          <w:b/>
        </w:rPr>
      </w:pPr>
      <w:bookmarkStart w:id="1" w:name="Par135"/>
      <w:bookmarkEnd w:id="1"/>
    </w:p>
    <w:p w:rsidR="00A22967" w:rsidRPr="00135F71" w:rsidRDefault="00BA5FF7" w:rsidP="00A22967">
      <w:pPr>
        <w:spacing w:after="160" w:line="259" w:lineRule="auto"/>
        <w:jc w:val="both"/>
      </w:pPr>
      <w:r w:rsidRPr="00A22967">
        <w:t xml:space="preserve">*Паспорт муниципальной программы, утвержденной постановлением </w:t>
      </w:r>
      <w:r w:rsidR="00FA5D0E" w:rsidRPr="00A22967">
        <w:t xml:space="preserve">администрации муниципального образования «Городской округ Ногликский» от 04.08.2015 № 551 </w:t>
      </w:r>
      <w:r w:rsidR="00A22967" w:rsidRPr="00135F71">
        <w:t>(в редакции проекта постановления с изменениями, вступающими в силу с 01.01.2019)</w:t>
      </w:r>
    </w:p>
    <w:p w:rsidR="00FA5D0E" w:rsidRPr="00A22967" w:rsidRDefault="00FA5D0E" w:rsidP="006A1143"/>
    <w:sectPr w:rsidR="00FA5D0E" w:rsidRPr="00A22967" w:rsidSect="00250F1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F17" w:rsidRDefault="00250F17" w:rsidP="00250F17">
      <w:r>
        <w:separator/>
      </w:r>
    </w:p>
  </w:endnote>
  <w:endnote w:type="continuationSeparator" w:id="0">
    <w:p w:rsidR="00250F17" w:rsidRDefault="00250F17" w:rsidP="0025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F17" w:rsidRDefault="00250F17" w:rsidP="00250F17">
      <w:r>
        <w:separator/>
      </w:r>
    </w:p>
  </w:footnote>
  <w:footnote w:type="continuationSeparator" w:id="0">
    <w:p w:rsidR="00250F17" w:rsidRDefault="00250F17" w:rsidP="00250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7150"/>
      <w:docPartObj>
        <w:docPartGallery w:val="Page Numbers (Top of Page)"/>
        <w:docPartUnique/>
      </w:docPartObj>
    </w:sdtPr>
    <w:sdtEndPr/>
    <w:sdtContent>
      <w:p w:rsidR="00250F17" w:rsidRDefault="001557B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4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0F17" w:rsidRDefault="00250F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07"/>
    <w:rsid w:val="00051B07"/>
    <w:rsid w:val="0011266F"/>
    <w:rsid w:val="0014140A"/>
    <w:rsid w:val="001557B7"/>
    <w:rsid w:val="00250F17"/>
    <w:rsid w:val="002A0D33"/>
    <w:rsid w:val="002A2A50"/>
    <w:rsid w:val="00362DF7"/>
    <w:rsid w:val="005A0EF0"/>
    <w:rsid w:val="005C20F3"/>
    <w:rsid w:val="00633493"/>
    <w:rsid w:val="00660A11"/>
    <w:rsid w:val="006A1143"/>
    <w:rsid w:val="006F77D2"/>
    <w:rsid w:val="00702C8A"/>
    <w:rsid w:val="0075531F"/>
    <w:rsid w:val="00865480"/>
    <w:rsid w:val="008E1FDE"/>
    <w:rsid w:val="00951D8B"/>
    <w:rsid w:val="009944CB"/>
    <w:rsid w:val="009E0B61"/>
    <w:rsid w:val="00A06F93"/>
    <w:rsid w:val="00A22967"/>
    <w:rsid w:val="00A330B4"/>
    <w:rsid w:val="00A670CA"/>
    <w:rsid w:val="00A73EF3"/>
    <w:rsid w:val="00B811A6"/>
    <w:rsid w:val="00BA5FF7"/>
    <w:rsid w:val="00C37578"/>
    <w:rsid w:val="00CE0459"/>
    <w:rsid w:val="00D61A97"/>
    <w:rsid w:val="00E51D0E"/>
    <w:rsid w:val="00FA5D0E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4B54C-9092-40FC-9FA0-CA571F9B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051B07"/>
    <w:rPr>
      <w:i/>
      <w:iCs/>
    </w:rPr>
  </w:style>
  <w:style w:type="paragraph" w:styleId="a4">
    <w:name w:val="header"/>
    <w:basedOn w:val="a"/>
    <w:link w:val="a5"/>
    <w:uiPriority w:val="99"/>
    <w:unhideWhenUsed/>
    <w:rsid w:val="00250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0F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50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F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1F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1F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bikbaeva</dc:creator>
  <cp:lastModifiedBy>Елена А. Лапкова</cp:lastModifiedBy>
  <cp:revision>12</cp:revision>
  <cp:lastPrinted>2018-11-07T07:21:00Z</cp:lastPrinted>
  <dcterms:created xsi:type="dcterms:W3CDTF">2015-11-20T07:36:00Z</dcterms:created>
  <dcterms:modified xsi:type="dcterms:W3CDTF">2018-11-08T03:26:00Z</dcterms:modified>
</cp:coreProperties>
</file>