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E8699" w14:textId="3BB1814C" w:rsidR="00855433" w:rsidRPr="00B86717" w:rsidRDefault="00301765" w:rsidP="00B86717">
      <w:pPr>
        <w:pStyle w:val="a3"/>
        <w:ind w:firstLine="10065"/>
        <w:jc w:val="center"/>
      </w:pPr>
      <w:r w:rsidRPr="00B86717">
        <w:t>ПРИЛОЖЕНИЕ 7</w:t>
      </w:r>
    </w:p>
    <w:p w14:paraId="7B1A401E" w14:textId="5726E366" w:rsidR="00301765" w:rsidRPr="00B86717" w:rsidRDefault="00301765" w:rsidP="00B86717">
      <w:pPr>
        <w:pStyle w:val="a3"/>
        <w:ind w:firstLine="10065"/>
        <w:jc w:val="center"/>
      </w:pPr>
    </w:p>
    <w:p w14:paraId="09EE939A" w14:textId="5B279188" w:rsidR="00301765" w:rsidRPr="00B86717" w:rsidRDefault="00301765" w:rsidP="00B86717">
      <w:pPr>
        <w:pStyle w:val="a3"/>
        <w:ind w:firstLine="10065"/>
        <w:jc w:val="center"/>
      </w:pPr>
      <w:r w:rsidRPr="00B86717">
        <w:t>УТВЕРЖДЕН</w:t>
      </w:r>
    </w:p>
    <w:p w14:paraId="0ABE75A6" w14:textId="08966A52" w:rsidR="00855433" w:rsidRPr="00B86717" w:rsidRDefault="00301765" w:rsidP="00B86717">
      <w:pPr>
        <w:pStyle w:val="a3"/>
        <w:ind w:firstLine="10065"/>
        <w:jc w:val="center"/>
      </w:pPr>
      <w:r w:rsidRPr="00B86717">
        <w:t>п</w:t>
      </w:r>
      <w:r w:rsidR="00855433" w:rsidRPr="00B86717">
        <w:t>остановлени</w:t>
      </w:r>
      <w:r w:rsidRPr="00B86717">
        <w:t>ем</w:t>
      </w:r>
      <w:r w:rsidR="00855433" w:rsidRPr="00B86717">
        <w:t xml:space="preserve"> администрации</w:t>
      </w:r>
    </w:p>
    <w:p w14:paraId="47B42185" w14:textId="77777777" w:rsidR="00855433" w:rsidRPr="00B86717" w:rsidRDefault="00855433" w:rsidP="00B86717">
      <w:pPr>
        <w:pStyle w:val="a3"/>
        <w:ind w:firstLine="10065"/>
        <w:jc w:val="center"/>
      </w:pPr>
      <w:r w:rsidRPr="00B86717">
        <w:t>муниципального образования</w:t>
      </w:r>
    </w:p>
    <w:p w14:paraId="6476B857" w14:textId="77777777" w:rsidR="00855433" w:rsidRPr="00B86717" w:rsidRDefault="00855433" w:rsidP="00B86717">
      <w:pPr>
        <w:pStyle w:val="a3"/>
        <w:ind w:firstLine="10065"/>
        <w:jc w:val="center"/>
      </w:pPr>
      <w:r w:rsidRPr="00B86717">
        <w:t xml:space="preserve">«Городской округ </w:t>
      </w:r>
      <w:proofErr w:type="spellStart"/>
      <w:r w:rsidRPr="00B86717">
        <w:t>Ногликский</w:t>
      </w:r>
      <w:proofErr w:type="spellEnd"/>
      <w:r w:rsidRPr="00B86717">
        <w:t>»</w:t>
      </w:r>
    </w:p>
    <w:p w14:paraId="127ADF9D" w14:textId="77777777" w:rsidR="00965B26" w:rsidRPr="0012195A" w:rsidRDefault="00965B26" w:rsidP="00965B26">
      <w:pPr>
        <w:pStyle w:val="a3"/>
        <w:ind w:firstLine="10065"/>
        <w:jc w:val="center"/>
      </w:pPr>
      <w:r w:rsidRPr="0012195A">
        <w:t xml:space="preserve">от </w:t>
      </w:r>
      <w:r>
        <w:t xml:space="preserve">27 мая 2024 года </w:t>
      </w:r>
      <w:r w:rsidRPr="0012195A">
        <w:t xml:space="preserve">№ </w:t>
      </w:r>
      <w:r>
        <w:t>317</w:t>
      </w:r>
    </w:p>
    <w:p w14:paraId="5774E01A" w14:textId="77777777" w:rsidR="008A0079" w:rsidRPr="00B86717" w:rsidRDefault="008A0079" w:rsidP="00B86717">
      <w:pPr>
        <w:pStyle w:val="a3"/>
        <w:jc w:val="right"/>
        <w:rPr>
          <w:b/>
        </w:rPr>
      </w:pPr>
      <w:bookmarkStart w:id="0" w:name="_GoBack"/>
      <w:bookmarkEnd w:id="0"/>
    </w:p>
    <w:p w14:paraId="5774E01B" w14:textId="77777777" w:rsidR="003D2763" w:rsidRPr="00B86717" w:rsidRDefault="003D2763" w:rsidP="00B86717">
      <w:pPr>
        <w:pStyle w:val="a3"/>
        <w:jc w:val="center"/>
      </w:pPr>
      <w:r w:rsidRPr="00B86717">
        <w:t xml:space="preserve">АЛГОРИТМ ДЕЙСТВИЙ ИНВЕСТОРА ПО ПРОЦЕДУРАМ ПОДКЛЮЧЕНИЯ </w:t>
      </w:r>
    </w:p>
    <w:p w14:paraId="5774E01C" w14:textId="77777777" w:rsidR="003D2763" w:rsidRPr="00B86717" w:rsidRDefault="003D2763" w:rsidP="00B86717">
      <w:pPr>
        <w:pStyle w:val="a3"/>
        <w:jc w:val="center"/>
      </w:pPr>
      <w:r w:rsidRPr="00B86717">
        <w:t xml:space="preserve">К </w:t>
      </w:r>
      <w:r w:rsidR="00054719" w:rsidRPr="00B86717">
        <w:t xml:space="preserve">ЭЛЕКТРИЧЕСКИМ СЕТЯМ (МАЛЫЙ И СРЕДНИЙ БИЗНЕС - ДО 150 </w:t>
      </w:r>
      <w:proofErr w:type="spellStart"/>
      <w:r w:rsidR="00054719" w:rsidRPr="00B86717">
        <w:t>кВТ</w:t>
      </w:r>
      <w:proofErr w:type="spellEnd"/>
      <w:r w:rsidR="00054719" w:rsidRPr="00B86717">
        <w:t>)</w:t>
      </w:r>
    </w:p>
    <w:p w14:paraId="1A898DE3" w14:textId="77777777" w:rsidR="002C7553" w:rsidRPr="00B86717" w:rsidRDefault="002C7553" w:rsidP="00B86717">
      <w:pPr>
        <w:pStyle w:val="a3"/>
        <w:jc w:val="center"/>
        <w:rPr>
          <w:sz w:val="20"/>
        </w:rPr>
      </w:pPr>
    </w:p>
    <w:tbl>
      <w:tblPr>
        <w:tblStyle w:val="TableNormal"/>
        <w:tblW w:w="15900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1985"/>
        <w:gridCol w:w="1559"/>
        <w:gridCol w:w="1701"/>
        <w:gridCol w:w="1134"/>
        <w:gridCol w:w="2268"/>
        <w:gridCol w:w="2126"/>
        <w:gridCol w:w="1701"/>
        <w:gridCol w:w="1135"/>
        <w:gridCol w:w="1700"/>
      </w:tblGrid>
      <w:tr w:rsidR="00EC0B21" w:rsidRPr="00B86717" w14:paraId="5774E028" w14:textId="77777777" w:rsidTr="00FE4BE4">
        <w:trPr>
          <w:trHeight w:val="919"/>
        </w:trPr>
        <w:tc>
          <w:tcPr>
            <w:tcW w:w="591" w:type="dxa"/>
          </w:tcPr>
          <w:p w14:paraId="5774E01D" w14:textId="77777777" w:rsidR="00EC0B21" w:rsidRPr="00B86717" w:rsidRDefault="0019545C" w:rsidP="00B86717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№ п/п</w:t>
            </w:r>
          </w:p>
        </w:tc>
        <w:tc>
          <w:tcPr>
            <w:tcW w:w="1985" w:type="dxa"/>
          </w:tcPr>
          <w:p w14:paraId="5774E01E" w14:textId="77777777" w:rsidR="00EC0B21" w:rsidRPr="00B86717" w:rsidRDefault="0019545C" w:rsidP="00B86717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Шаг алгоритма (Процедура)</w:t>
            </w:r>
          </w:p>
        </w:tc>
        <w:tc>
          <w:tcPr>
            <w:tcW w:w="1559" w:type="dxa"/>
          </w:tcPr>
          <w:p w14:paraId="5774E01F" w14:textId="77777777" w:rsidR="00EC0B21" w:rsidRPr="00B86717" w:rsidRDefault="0019545C" w:rsidP="00B86717">
            <w:pPr>
              <w:pStyle w:val="TableParagraph"/>
              <w:ind w:left="57" w:right="57" w:firstLine="1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Срок </w:t>
            </w:r>
            <w:r w:rsidR="00FE4BE4" w:rsidRPr="00B86717">
              <w:rPr>
                <w:sz w:val="20"/>
                <w:szCs w:val="20"/>
              </w:rPr>
              <w:t>ф</w:t>
            </w:r>
            <w:r w:rsidRPr="00B86717">
              <w:rPr>
                <w:sz w:val="20"/>
                <w:szCs w:val="20"/>
              </w:rPr>
              <w:t>актический</w:t>
            </w:r>
          </w:p>
        </w:tc>
        <w:tc>
          <w:tcPr>
            <w:tcW w:w="1701" w:type="dxa"/>
          </w:tcPr>
          <w:p w14:paraId="5774E020" w14:textId="77777777" w:rsidR="00EC0B21" w:rsidRPr="00B86717" w:rsidRDefault="0019545C" w:rsidP="00B86717">
            <w:pPr>
              <w:pStyle w:val="TableParagraph"/>
              <w:ind w:left="57" w:right="57" w:firstLine="1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Срок целевой</w:t>
            </w:r>
          </w:p>
        </w:tc>
        <w:tc>
          <w:tcPr>
            <w:tcW w:w="1134" w:type="dxa"/>
          </w:tcPr>
          <w:p w14:paraId="5774E021" w14:textId="77777777" w:rsidR="00EC0B21" w:rsidRPr="00B86717" w:rsidRDefault="0019545C" w:rsidP="00B86717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Кол</w:t>
            </w:r>
            <w:r w:rsidR="00556C53" w:rsidRPr="00B86717">
              <w:rPr>
                <w:sz w:val="20"/>
                <w:szCs w:val="20"/>
              </w:rPr>
              <w:t>ич</w:t>
            </w:r>
            <w:r w:rsidR="00375910" w:rsidRPr="00B86717">
              <w:rPr>
                <w:sz w:val="20"/>
                <w:szCs w:val="20"/>
              </w:rPr>
              <w:t>ест</w:t>
            </w:r>
            <w:r w:rsidRPr="00B86717">
              <w:rPr>
                <w:sz w:val="20"/>
                <w:szCs w:val="20"/>
              </w:rPr>
              <w:t>во док</w:t>
            </w:r>
            <w:r w:rsidR="00E066FA" w:rsidRPr="00B86717">
              <w:rPr>
                <w:sz w:val="20"/>
                <w:szCs w:val="20"/>
              </w:rPr>
              <w:t>умент</w:t>
            </w:r>
            <w:r w:rsidRPr="00B86717">
              <w:rPr>
                <w:sz w:val="20"/>
                <w:szCs w:val="20"/>
              </w:rPr>
              <w:t>ов</w:t>
            </w:r>
          </w:p>
        </w:tc>
        <w:tc>
          <w:tcPr>
            <w:tcW w:w="2268" w:type="dxa"/>
          </w:tcPr>
          <w:p w14:paraId="5774E022" w14:textId="77777777" w:rsidR="00EC0B21" w:rsidRPr="00B86717" w:rsidRDefault="0019545C" w:rsidP="00B86717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Входящие документы</w:t>
            </w:r>
          </w:p>
        </w:tc>
        <w:tc>
          <w:tcPr>
            <w:tcW w:w="2126" w:type="dxa"/>
          </w:tcPr>
          <w:p w14:paraId="5774E023" w14:textId="77777777" w:rsidR="00EC0B21" w:rsidRPr="00B86717" w:rsidRDefault="0019545C" w:rsidP="00B86717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Результирующие документы</w:t>
            </w:r>
          </w:p>
        </w:tc>
        <w:tc>
          <w:tcPr>
            <w:tcW w:w="1701" w:type="dxa"/>
          </w:tcPr>
          <w:p w14:paraId="5774E024" w14:textId="77777777" w:rsidR="00EC0B21" w:rsidRPr="00B86717" w:rsidRDefault="0019545C" w:rsidP="00B86717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Нормативный</w:t>
            </w:r>
            <w:r w:rsidR="00473C82" w:rsidRPr="00B86717">
              <w:rPr>
                <w:sz w:val="20"/>
                <w:szCs w:val="20"/>
              </w:rPr>
              <w:t xml:space="preserve"> </w:t>
            </w:r>
            <w:r w:rsidRPr="00B86717">
              <w:rPr>
                <w:sz w:val="20"/>
                <w:szCs w:val="20"/>
              </w:rPr>
              <w:t>правовой акт</w:t>
            </w:r>
          </w:p>
        </w:tc>
        <w:tc>
          <w:tcPr>
            <w:tcW w:w="1135" w:type="dxa"/>
          </w:tcPr>
          <w:p w14:paraId="5774E025" w14:textId="77777777" w:rsidR="00EC0B21" w:rsidRPr="00B86717" w:rsidRDefault="0019545C" w:rsidP="00B86717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Категории инвестиционных проектов</w:t>
            </w:r>
          </w:p>
        </w:tc>
        <w:tc>
          <w:tcPr>
            <w:tcW w:w="1700" w:type="dxa"/>
          </w:tcPr>
          <w:p w14:paraId="5774E027" w14:textId="77777777" w:rsidR="00EC0B21" w:rsidRPr="00B86717" w:rsidRDefault="0019545C" w:rsidP="00B86717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Примечание</w:t>
            </w:r>
          </w:p>
        </w:tc>
      </w:tr>
      <w:tr w:rsidR="00EC0B21" w:rsidRPr="00B86717" w14:paraId="5774E056" w14:textId="77777777" w:rsidTr="00FE4BE4">
        <w:trPr>
          <w:trHeight w:val="1546"/>
        </w:trPr>
        <w:tc>
          <w:tcPr>
            <w:tcW w:w="591" w:type="dxa"/>
          </w:tcPr>
          <w:p w14:paraId="5774E029" w14:textId="77777777" w:rsidR="00EC0B21" w:rsidRPr="00B86717" w:rsidRDefault="0019545C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14:paraId="5774E02A" w14:textId="77777777" w:rsidR="00EC0B21" w:rsidRPr="00B86717" w:rsidRDefault="00416BF5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Подача </w:t>
            </w:r>
            <w:r w:rsidR="00350443" w:rsidRPr="00B86717">
              <w:rPr>
                <w:sz w:val="20"/>
                <w:szCs w:val="20"/>
              </w:rPr>
              <w:t xml:space="preserve">инвестором </w:t>
            </w:r>
            <w:r w:rsidRPr="00B86717">
              <w:rPr>
                <w:sz w:val="20"/>
                <w:szCs w:val="20"/>
              </w:rPr>
              <w:t xml:space="preserve">заявки на технологическое присоединение </w:t>
            </w:r>
            <w:proofErr w:type="spellStart"/>
            <w:r w:rsidRPr="00B86717">
              <w:rPr>
                <w:sz w:val="20"/>
                <w:szCs w:val="20"/>
              </w:rPr>
              <w:t>энергопринимающих</w:t>
            </w:r>
            <w:proofErr w:type="spellEnd"/>
            <w:r w:rsidRPr="00B86717">
              <w:rPr>
                <w:sz w:val="20"/>
                <w:szCs w:val="20"/>
              </w:rPr>
              <w:t xml:space="preserve"> устройств к электрическим сетям </w:t>
            </w:r>
            <w:r w:rsidR="007A6154" w:rsidRPr="00B86717">
              <w:rPr>
                <w:sz w:val="20"/>
                <w:szCs w:val="20"/>
              </w:rPr>
              <w:t>сетевой организации</w:t>
            </w:r>
          </w:p>
        </w:tc>
        <w:tc>
          <w:tcPr>
            <w:tcW w:w="1559" w:type="dxa"/>
          </w:tcPr>
          <w:p w14:paraId="5774E02B" w14:textId="32D3D136" w:rsidR="00EC0B21" w:rsidRPr="00B86717" w:rsidRDefault="00416BF5" w:rsidP="00B86717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3</w:t>
            </w:r>
            <w:r w:rsidR="002C7553" w:rsidRPr="00B86717">
              <w:rPr>
                <w:sz w:val="20"/>
                <w:szCs w:val="20"/>
              </w:rPr>
              <w:br/>
            </w:r>
            <w:r w:rsidRPr="00B86717">
              <w:rPr>
                <w:sz w:val="20"/>
                <w:szCs w:val="20"/>
              </w:rPr>
              <w:t xml:space="preserve"> рабочих дня</w:t>
            </w:r>
          </w:p>
        </w:tc>
        <w:tc>
          <w:tcPr>
            <w:tcW w:w="1701" w:type="dxa"/>
          </w:tcPr>
          <w:p w14:paraId="5774E02C" w14:textId="7E390AF0" w:rsidR="00931CFA" w:rsidRPr="00B86717" w:rsidRDefault="00F566A1" w:rsidP="00B86717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3 </w:t>
            </w:r>
            <w:r w:rsidR="002C7553" w:rsidRPr="00B86717">
              <w:rPr>
                <w:sz w:val="20"/>
                <w:szCs w:val="20"/>
              </w:rPr>
              <w:br/>
            </w:r>
            <w:r w:rsidRPr="00B86717">
              <w:rPr>
                <w:sz w:val="20"/>
                <w:szCs w:val="20"/>
              </w:rPr>
              <w:t xml:space="preserve">рабочих дня </w:t>
            </w:r>
          </w:p>
        </w:tc>
        <w:tc>
          <w:tcPr>
            <w:tcW w:w="1134" w:type="dxa"/>
          </w:tcPr>
          <w:p w14:paraId="5774E02D" w14:textId="77777777" w:rsidR="00EC0B21" w:rsidRPr="00B86717" w:rsidRDefault="00416BF5" w:rsidP="00B86717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5774E02E" w14:textId="77777777" w:rsidR="00EC0B21" w:rsidRPr="00B86717" w:rsidRDefault="00416BF5" w:rsidP="00B86717">
            <w:pPr>
              <w:pStyle w:val="a5"/>
              <w:ind w:left="57" w:right="57"/>
              <w:rPr>
                <w:sz w:val="20"/>
                <w:szCs w:val="20"/>
              </w:rPr>
            </w:pPr>
            <w:bookmarkStart w:id="1" w:name="dst100060"/>
            <w:bookmarkEnd w:id="1"/>
            <w:r w:rsidRPr="00B86717">
              <w:rPr>
                <w:sz w:val="20"/>
                <w:szCs w:val="20"/>
              </w:rPr>
              <w:t xml:space="preserve">Заявка на технологическое присоединение </w:t>
            </w:r>
            <w:proofErr w:type="spellStart"/>
            <w:r w:rsidRPr="00B86717">
              <w:rPr>
                <w:sz w:val="20"/>
                <w:szCs w:val="20"/>
              </w:rPr>
              <w:t>энергопринимающих</w:t>
            </w:r>
            <w:proofErr w:type="spellEnd"/>
            <w:r w:rsidRPr="00B86717">
              <w:rPr>
                <w:sz w:val="20"/>
                <w:szCs w:val="20"/>
              </w:rPr>
              <w:t xml:space="preserve"> устройств к электрическим сетям</w:t>
            </w:r>
          </w:p>
        </w:tc>
        <w:tc>
          <w:tcPr>
            <w:tcW w:w="2126" w:type="dxa"/>
          </w:tcPr>
          <w:p w14:paraId="5774E02F" w14:textId="77777777" w:rsidR="006B1BA5" w:rsidRPr="00B86717" w:rsidRDefault="006B1BA5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Зарегистрированная сетевой организацией заявка на технологическое присоединение </w:t>
            </w:r>
            <w:proofErr w:type="spellStart"/>
            <w:r w:rsidRPr="00B86717">
              <w:rPr>
                <w:sz w:val="20"/>
                <w:szCs w:val="20"/>
              </w:rPr>
              <w:t>энергопринимающих</w:t>
            </w:r>
            <w:proofErr w:type="spellEnd"/>
            <w:r w:rsidRPr="00B86717">
              <w:rPr>
                <w:sz w:val="20"/>
                <w:szCs w:val="20"/>
              </w:rPr>
              <w:t xml:space="preserve"> устройств к электрическим сетям.</w:t>
            </w:r>
          </w:p>
          <w:p w14:paraId="5774E030" w14:textId="77777777" w:rsidR="006B1BA5" w:rsidRPr="00B86717" w:rsidRDefault="006B1BA5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  <w:p w14:paraId="5774E031" w14:textId="77777777" w:rsidR="00EC0B21" w:rsidRPr="00B86717" w:rsidRDefault="00416BF5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Уведомление о принятии /отказе в принятии заявки в работу.</w:t>
            </w:r>
          </w:p>
        </w:tc>
        <w:tc>
          <w:tcPr>
            <w:tcW w:w="1701" w:type="dxa"/>
          </w:tcPr>
          <w:p w14:paraId="5774E032" w14:textId="77777777" w:rsidR="00416BF5" w:rsidRPr="00B86717" w:rsidRDefault="00416BF5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Пункт 12</w:t>
            </w:r>
          </w:p>
          <w:p w14:paraId="5774E033" w14:textId="77777777" w:rsidR="00416BF5" w:rsidRPr="00B86717" w:rsidRDefault="00416BF5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Правил</w:t>
            </w:r>
          </w:p>
          <w:p w14:paraId="5774E034" w14:textId="77777777" w:rsidR="00416BF5" w:rsidRPr="00B86717" w:rsidRDefault="00416BF5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технологического</w:t>
            </w:r>
          </w:p>
          <w:p w14:paraId="5774E035" w14:textId="77777777" w:rsidR="00416BF5" w:rsidRPr="00B86717" w:rsidRDefault="00416BF5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присоединения,</w:t>
            </w:r>
          </w:p>
          <w:p w14:paraId="5774E036" w14:textId="77777777" w:rsidR="00416BF5" w:rsidRPr="00B86717" w:rsidRDefault="00416BF5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утвержденных</w:t>
            </w:r>
          </w:p>
          <w:p w14:paraId="5774E037" w14:textId="77777777" w:rsidR="00416BF5" w:rsidRPr="00B86717" w:rsidRDefault="00416BF5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постановлением</w:t>
            </w:r>
          </w:p>
          <w:p w14:paraId="5774E038" w14:textId="77777777" w:rsidR="00416BF5" w:rsidRPr="00B86717" w:rsidRDefault="00416BF5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Правительств</w:t>
            </w:r>
          </w:p>
          <w:p w14:paraId="5774E039" w14:textId="77777777" w:rsidR="00416BF5" w:rsidRPr="00B86717" w:rsidRDefault="00416BF5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а Российской</w:t>
            </w:r>
          </w:p>
          <w:p w14:paraId="5774E03A" w14:textId="77777777" w:rsidR="00416BF5" w:rsidRPr="00B86717" w:rsidRDefault="00416BF5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Федерации от</w:t>
            </w:r>
          </w:p>
          <w:p w14:paraId="5774E03B" w14:textId="77777777" w:rsidR="00416BF5" w:rsidRPr="00B86717" w:rsidRDefault="00416BF5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27 декабря</w:t>
            </w:r>
          </w:p>
          <w:p w14:paraId="5774E03C" w14:textId="707B7B01" w:rsidR="00416BF5" w:rsidRPr="00B86717" w:rsidRDefault="00416BF5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2004 г</w:t>
            </w:r>
            <w:r w:rsidR="00301765" w:rsidRPr="00B86717">
              <w:rPr>
                <w:sz w:val="20"/>
                <w:szCs w:val="20"/>
              </w:rPr>
              <w:t>ода</w:t>
            </w:r>
            <w:r w:rsidRPr="00B86717">
              <w:rPr>
                <w:sz w:val="20"/>
                <w:szCs w:val="20"/>
              </w:rPr>
              <w:t xml:space="preserve"> № 861</w:t>
            </w:r>
          </w:p>
          <w:p w14:paraId="5774E03D" w14:textId="77777777" w:rsidR="00416BF5" w:rsidRPr="00B86717" w:rsidRDefault="00416BF5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(далее –</w:t>
            </w:r>
          </w:p>
          <w:p w14:paraId="5774E03E" w14:textId="77777777" w:rsidR="00EC0B21" w:rsidRPr="00B86717" w:rsidRDefault="00416BF5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Правила ТП)</w:t>
            </w:r>
          </w:p>
        </w:tc>
        <w:tc>
          <w:tcPr>
            <w:tcW w:w="1135" w:type="dxa"/>
          </w:tcPr>
          <w:p w14:paraId="5774E03F" w14:textId="6B22EFDB" w:rsidR="00EC0B21" w:rsidRPr="00B86717" w:rsidRDefault="00054719" w:rsidP="00B86717">
            <w:pPr>
              <w:pStyle w:val="TableParagraph"/>
              <w:tabs>
                <w:tab w:val="left" w:pos="797"/>
              </w:tabs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Малый и средний бизнес - до 150 кВт</w:t>
            </w:r>
          </w:p>
        </w:tc>
        <w:tc>
          <w:tcPr>
            <w:tcW w:w="1700" w:type="dxa"/>
          </w:tcPr>
          <w:p w14:paraId="5774E040" w14:textId="77777777" w:rsidR="00476592" w:rsidRPr="00B86717" w:rsidRDefault="00476592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В целях определения</w:t>
            </w:r>
          </w:p>
          <w:p w14:paraId="5774E041" w14:textId="77777777" w:rsidR="00476592" w:rsidRPr="00B86717" w:rsidRDefault="00476592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надлежащей сетевой</w:t>
            </w:r>
          </w:p>
          <w:p w14:paraId="5774E042" w14:textId="77777777" w:rsidR="00476592" w:rsidRPr="00B86717" w:rsidRDefault="00476592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организации, в которую</w:t>
            </w:r>
          </w:p>
          <w:p w14:paraId="5774E043" w14:textId="77777777" w:rsidR="00476592" w:rsidRPr="00B86717" w:rsidRDefault="00476592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подлежит направлению</w:t>
            </w:r>
          </w:p>
          <w:p w14:paraId="5774E045" w14:textId="6CDB1C6B" w:rsidR="00476592" w:rsidRPr="00B86717" w:rsidRDefault="00476592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заявка, заявитель вправе</w:t>
            </w:r>
            <w:r w:rsidR="002C7553" w:rsidRPr="00B86717">
              <w:rPr>
                <w:sz w:val="20"/>
                <w:szCs w:val="20"/>
              </w:rPr>
              <w:t xml:space="preserve"> </w:t>
            </w:r>
            <w:r w:rsidRPr="00B86717">
              <w:rPr>
                <w:sz w:val="20"/>
                <w:szCs w:val="20"/>
              </w:rPr>
              <w:t>направить запрос в орган</w:t>
            </w:r>
          </w:p>
          <w:p w14:paraId="5774E047" w14:textId="0C0CE04B" w:rsidR="00476592" w:rsidRPr="00B86717" w:rsidRDefault="00476592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местного самоуправления, на</w:t>
            </w:r>
            <w:r w:rsidR="002C7553" w:rsidRPr="00B86717">
              <w:rPr>
                <w:sz w:val="20"/>
                <w:szCs w:val="20"/>
              </w:rPr>
              <w:t xml:space="preserve"> </w:t>
            </w:r>
            <w:r w:rsidRPr="00B86717">
              <w:rPr>
                <w:sz w:val="20"/>
                <w:szCs w:val="20"/>
              </w:rPr>
              <w:t>территории которого</w:t>
            </w:r>
          </w:p>
          <w:p w14:paraId="5774E048" w14:textId="77777777" w:rsidR="00476592" w:rsidRPr="00B86717" w:rsidRDefault="00476592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расположены</w:t>
            </w:r>
          </w:p>
          <w:p w14:paraId="5774E049" w14:textId="77777777" w:rsidR="00476592" w:rsidRPr="00B86717" w:rsidRDefault="00476592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соответствующие объекты</w:t>
            </w:r>
          </w:p>
          <w:p w14:paraId="5774E04B" w14:textId="23F8342B" w:rsidR="00476592" w:rsidRPr="00B86717" w:rsidRDefault="00476592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электросетевого хозяйства, с</w:t>
            </w:r>
            <w:r w:rsidR="002C7553" w:rsidRPr="00B86717">
              <w:rPr>
                <w:sz w:val="20"/>
                <w:szCs w:val="20"/>
              </w:rPr>
              <w:t xml:space="preserve"> </w:t>
            </w:r>
            <w:r w:rsidRPr="00B86717">
              <w:rPr>
                <w:sz w:val="20"/>
                <w:szCs w:val="20"/>
              </w:rPr>
              <w:t>указанием расположения</w:t>
            </w:r>
          </w:p>
          <w:p w14:paraId="5774E04C" w14:textId="77777777" w:rsidR="00476592" w:rsidRPr="00B86717" w:rsidRDefault="00476592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lastRenderedPageBreak/>
              <w:t>объектов электросетевого</w:t>
            </w:r>
          </w:p>
          <w:p w14:paraId="5774E04D" w14:textId="77777777" w:rsidR="00476592" w:rsidRPr="00B86717" w:rsidRDefault="00476592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хозяйства, принадлежность</w:t>
            </w:r>
          </w:p>
          <w:p w14:paraId="5774E04E" w14:textId="77777777" w:rsidR="00476592" w:rsidRPr="00B86717" w:rsidRDefault="00476592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которых необходимо</w:t>
            </w:r>
          </w:p>
          <w:p w14:paraId="5774E04F" w14:textId="77777777" w:rsidR="00476592" w:rsidRPr="00B86717" w:rsidRDefault="00476592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определить, а орган местного</w:t>
            </w:r>
          </w:p>
          <w:p w14:paraId="5774E050" w14:textId="77777777" w:rsidR="00476592" w:rsidRPr="00B86717" w:rsidRDefault="00476592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самоуправления обязан</w:t>
            </w:r>
          </w:p>
          <w:p w14:paraId="5774E051" w14:textId="77777777" w:rsidR="00476592" w:rsidRPr="00B86717" w:rsidRDefault="00476592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предоставить заявителю в</w:t>
            </w:r>
          </w:p>
          <w:p w14:paraId="5774E052" w14:textId="77777777" w:rsidR="00476592" w:rsidRPr="00B86717" w:rsidRDefault="00476592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течение 15 дней информацию</w:t>
            </w:r>
          </w:p>
          <w:p w14:paraId="5774E054" w14:textId="36C66B89" w:rsidR="00476592" w:rsidRPr="00B86717" w:rsidRDefault="00476592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о принадлежности указанных</w:t>
            </w:r>
            <w:r w:rsidR="002C7553" w:rsidRPr="00B86717">
              <w:rPr>
                <w:sz w:val="20"/>
                <w:szCs w:val="20"/>
              </w:rPr>
              <w:t xml:space="preserve"> </w:t>
            </w:r>
            <w:r w:rsidRPr="00B86717">
              <w:rPr>
                <w:sz w:val="20"/>
                <w:szCs w:val="20"/>
              </w:rPr>
              <w:t>в запросе объектов</w:t>
            </w:r>
          </w:p>
          <w:p w14:paraId="5774E055" w14:textId="77777777" w:rsidR="00476592" w:rsidRPr="00B86717" w:rsidRDefault="00476592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электросетевого хозяйства.</w:t>
            </w:r>
          </w:p>
        </w:tc>
      </w:tr>
      <w:tr w:rsidR="00EC0B21" w:rsidRPr="00B86717" w14:paraId="5774E06A" w14:textId="77777777" w:rsidTr="00FE4BE4">
        <w:trPr>
          <w:trHeight w:val="1408"/>
        </w:trPr>
        <w:tc>
          <w:tcPr>
            <w:tcW w:w="591" w:type="dxa"/>
          </w:tcPr>
          <w:p w14:paraId="5774E057" w14:textId="77777777" w:rsidR="00EC0B21" w:rsidRPr="00B86717" w:rsidRDefault="0019545C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985" w:type="dxa"/>
          </w:tcPr>
          <w:p w14:paraId="5774E058" w14:textId="77777777" w:rsidR="00EC0B21" w:rsidRPr="00B86717" w:rsidRDefault="00C65466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  <w:lang w:eastAsia="ru-RU"/>
              </w:rPr>
              <w:t xml:space="preserve">Выдача </w:t>
            </w:r>
            <w:r w:rsidR="0054687A" w:rsidRPr="00B86717">
              <w:rPr>
                <w:sz w:val="20"/>
                <w:szCs w:val="20"/>
                <w:lang w:eastAsia="ru-RU"/>
              </w:rPr>
              <w:t>сетевой организацией</w:t>
            </w:r>
            <w:r w:rsidRPr="00B86717">
              <w:rPr>
                <w:sz w:val="20"/>
                <w:szCs w:val="20"/>
                <w:lang w:eastAsia="ru-RU"/>
              </w:rPr>
              <w:t xml:space="preserve"> </w:t>
            </w:r>
            <w:r w:rsidR="00025F10" w:rsidRPr="00B86717">
              <w:rPr>
                <w:sz w:val="20"/>
                <w:szCs w:val="20"/>
                <w:lang w:eastAsia="ru-RU"/>
              </w:rPr>
              <w:t>инвестору</w:t>
            </w:r>
            <w:r w:rsidRPr="00B86717">
              <w:rPr>
                <w:sz w:val="20"/>
                <w:szCs w:val="20"/>
                <w:lang w:eastAsia="ru-RU"/>
              </w:rPr>
              <w:t xml:space="preserve"> оферты договора и технических условий подключения к </w:t>
            </w:r>
            <w:r w:rsidR="009127B4" w:rsidRPr="00B86717">
              <w:rPr>
                <w:sz w:val="20"/>
                <w:szCs w:val="20"/>
                <w:lang w:eastAsia="ru-RU"/>
              </w:rPr>
              <w:t>с</w:t>
            </w:r>
            <w:r w:rsidRPr="00B86717">
              <w:rPr>
                <w:sz w:val="20"/>
                <w:szCs w:val="20"/>
                <w:lang w:eastAsia="ru-RU"/>
              </w:rPr>
              <w:t>етям</w:t>
            </w:r>
          </w:p>
        </w:tc>
        <w:tc>
          <w:tcPr>
            <w:tcW w:w="1559" w:type="dxa"/>
          </w:tcPr>
          <w:p w14:paraId="5774E059" w14:textId="77777777" w:rsidR="00EB4A6F" w:rsidRPr="00B86717" w:rsidRDefault="00EB4A6F" w:rsidP="00B86717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В течение 15 календарных дней (</w:t>
            </w:r>
            <w:r w:rsidRPr="00B86717">
              <w:rPr>
                <w:bCs/>
                <w:sz w:val="20"/>
                <w:szCs w:val="20"/>
              </w:rPr>
              <w:t xml:space="preserve">п. 15 </w:t>
            </w:r>
            <w:r w:rsidRPr="00B86717">
              <w:rPr>
                <w:sz w:val="20"/>
                <w:szCs w:val="20"/>
              </w:rPr>
              <w:t>Правил ТП).</w:t>
            </w:r>
          </w:p>
          <w:p w14:paraId="5774E05A" w14:textId="77777777" w:rsidR="00EB4A6F" w:rsidRPr="00B86717" w:rsidRDefault="00EB4A6F" w:rsidP="00B86717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</w:p>
          <w:p w14:paraId="5774E05B" w14:textId="2C5E5BCB" w:rsidR="00EC0B21" w:rsidRPr="00B86717" w:rsidRDefault="00EB4A6F" w:rsidP="00B86717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В течени</w:t>
            </w:r>
            <w:r w:rsidR="00301765" w:rsidRPr="00B86717">
              <w:rPr>
                <w:sz w:val="20"/>
                <w:szCs w:val="20"/>
              </w:rPr>
              <w:t>е</w:t>
            </w:r>
            <w:r w:rsidRPr="00B86717">
              <w:rPr>
                <w:sz w:val="20"/>
                <w:szCs w:val="20"/>
              </w:rPr>
              <w:t xml:space="preserve"> 7 дней, в случае направления заявки и прилагаемых документов посредством электронной почты или через МФЦ.</w:t>
            </w:r>
          </w:p>
        </w:tc>
        <w:tc>
          <w:tcPr>
            <w:tcW w:w="1701" w:type="dxa"/>
          </w:tcPr>
          <w:p w14:paraId="5774E05C" w14:textId="77777777" w:rsidR="007A6154" w:rsidRPr="00B86717" w:rsidRDefault="007A6154" w:rsidP="00B86717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В течение 15 календарных дней (</w:t>
            </w:r>
            <w:r w:rsidRPr="00B86717">
              <w:rPr>
                <w:bCs/>
                <w:sz w:val="20"/>
                <w:szCs w:val="20"/>
              </w:rPr>
              <w:t xml:space="preserve">п. 15 </w:t>
            </w:r>
            <w:r w:rsidRPr="00B86717">
              <w:rPr>
                <w:sz w:val="20"/>
                <w:szCs w:val="20"/>
              </w:rPr>
              <w:t>Правил ТП).</w:t>
            </w:r>
          </w:p>
          <w:p w14:paraId="5774E05D" w14:textId="77777777" w:rsidR="007A6154" w:rsidRPr="00B86717" w:rsidRDefault="007A6154" w:rsidP="00B86717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</w:p>
          <w:p w14:paraId="5774E05E" w14:textId="31DDEF41" w:rsidR="00EC0B21" w:rsidRPr="00B86717" w:rsidRDefault="00301765" w:rsidP="00B86717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В течение</w:t>
            </w:r>
            <w:r w:rsidR="007A6154" w:rsidRPr="00B86717">
              <w:rPr>
                <w:sz w:val="20"/>
                <w:szCs w:val="20"/>
              </w:rPr>
              <w:t xml:space="preserve"> 7 дней, в случае направления заявки и прилагаемых документов посредством электронной почты или через МФЦ.</w:t>
            </w:r>
          </w:p>
        </w:tc>
        <w:tc>
          <w:tcPr>
            <w:tcW w:w="1134" w:type="dxa"/>
          </w:tcPr>
          <w:p w14:paraId="5774E05F" w14:textId="77777777" w:rsidR="00EC0B21" w:rsidRPr="00B86717" w:rsidRDefault="0086588B" w:rsidP="00B86717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5774E060" w14:textId="77777777" w:rsidR="00EB4E77" w:rsidRPr="00B86717" w:rsidRDefault="00EB4E77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Зарегистрированная сетевой организацией заявка на технологическое присоединение </w:t>
            </w:r>
            <w:proofErr w:type="spellStart"/>
            <w:r w:rsidRPr="00B86717">
              <w:rPr>
                <w:sz w:val="20"/>
                <w:szCs w:val="20"/>
              </w:rPr>
              <w:t>энергопринимающих</w:t>
            </w:r>
            <w:proofErr w:type="spellEnd"/>
            <w:r w:rsidRPr="00B86717">
              <w:rPr>
                <w:sz w:val="20"/>
                <w:szCs w:val="20"/>
              </w:rPr>
              <w:t xml:space="preserve"> устройств к электрическим сетям.</w:t>
            </w:r>
          </w:p>
          <w:p w14:paraId="5774E061" w14:textId="77777777" w:rsidR="00EC0B21" w:rsidRPr="00B86717" w:rsidRDefault="00EC0B21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774E062" w14:textId="77777777" w:rsidR="0056093C" w:rsidRPr="00B86717" w:rsidRDefault="00235A8F" w:rsidP="00B86717">
            <w:pPr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Заполненный и подписанный сетевой организацией проект договора о подключении (технологическом присоединении)</w:t>
            </w:r>
            <w:r w:rsidR="0054687A" w:rsidRPr="00B86717">
              <w:rPr>
                <w:sz w:val="20"/>
                <w:szCs w:val="20"/>
              </w:rPr>
              <w:t xml:space="preserve"> (далее - ДТП)</w:t>
            </w:r>
            <w:r w:rsidRPr="00B86717">
              <w:rPr>
                <w:sz w:val="20"/>
                <w:szCs w:val="20"/>
              </w:rPr>
              <w:t xml:space="preserve"> в 2 экземплярах и технические условия</w:t>
            </w:r>
            <w:r w:rsidR="0054687A" w:rsidRPr="00B86717">
              <w:rPr>
                <w:sz w:val="20"/>
                <w:szCs w:val="20"/>
              </w:rPr>
              <w:t xml:space="preserve"> (далее - ТУ)</w:t>
            </w:r>
            <w:r w:rsidRPr="00B86717">
              <w:rPr>
                <w:sz w:val="20"/>
                <w:szCs w:val="20"/>
              </w:rPr>
              <w:t>, как неотъемлемое приложение к договора о подключении (технологическом присоединении).</w:t>
            </w:r>
          </w:p>
        </w:tc>
        <w:tc>
          <w:tcPr>
            <w:tcW w:w="1701" w:type="dxa"/>
          </w:tcPr>
          <w:p w14:paraId="5774E063" w14:textId="77777777" w:rsidR="00EB4A6F" w:rsidRPr="00B86717" w:rsidRDefault="00EB4A6F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Пункт 15</w:t>
            </w:r>
          </w:p>
          <w:p w14:paraId="5774E064" w14:textId="77777777" w:rsidR="00EC0B21" w:rsidRPr="00B86717" w:rsidRDefault="00EB4A6F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Правил ТП</w:t>
            </w:r>
          </w:p>
        </w:tc>
        <w:tc>
          <w:tcPr>
            <w:tcW w:w="1135" w:type="dxa"/>
          </w:tcPr>
          <w:p w14:paraId="5774E065" w14:textId="77777777" w:rsidR="00EC0B21" w:rsidRPr="00B86717" w:rsidRDefault="00713914" w:rsidP="00B86717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Малый и средний бизнес - до 150 кВт</w:t>
            </w:r>
          </w:p>
        </w:tc>
        <w:tc>
          <w:tcPr>
            <w:tcW w:w="1700" w:type="dxa"/>
          </w:tcPr>
          <w:p w14:paraId="5774E069" w14:textId="3C798D4C" w:rsidR="00EC0B21" w:rsidRPr="00B86717" w:rsidRDefault="007A6154" w:rsidP="00B86717">
            <w:pPr>
              <w:pStyle w:val="Default"/>
              <w:ind w:lef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В случае осуществления технологического присоединения по индивидуальному проекту сетевая организация направляет для подписания заполненный и подписанный ею проект договора в 2 экземплярах и технические условия как неотъемлемое приложение к договору в течение 3 рабочих дней со дня утверждения </w:t>
            </w:r>
            <w:r w:rsidRPr="00B86717">
              <w:rPr>
                <w:sz w:val="20"/>
                <w:szCs w:val="20"/>
              </w:rPr>
              <w:lastRenderedPageBreak/>
              <w:t xml:space="preserve">размера платы за технологическое присоединение уполномоченным органом исполнительной власти в области государственного регулирования тарифов. </w:t>
            </w:r>
          </w:p>
        </w:tc>
      </w:tr>
      <w:tr w:rsidR="0054687A" w:rsidRPr="00B86717" w14:paraId="5774E07E" w14:textId="77777777" w:rsidTr="00FE4BE4">
        <w:trPr>
          <w:trHeight w:val="1408"/>
        </w:trPr>
        <w:tc>
          <w:tcPr>
            <w:tcW w:w="591" w:type="dxa"/>
          </w:tcPr>
          <w:p w14:paraId="5774E06B" w14:textId="77777777" w:rsidR="0054687A" w:rsidRPr="00B86717" w:rsidRDefault="0054687A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985" w:type="dxa"/>
          </w:tcPr>
          <w:p w14:paraId="5774E06C" w14:textId="77777777" w:rsidR="0054687A" w:rsidRPr="00B86717" w:rsidRDefault="0054687A" w:rsidP="00B86717">
            <w:pPr>
              <w:pStyle w:val="TableParagraph"/>
              <w:ind w:left="57" w:right="57"/>
              <w:rPr>
                <w:sz w:val="20"/>
                <w:szCs w:val="20"/>
                <w:lang w:eastAsia="ru-RU"/>
              </w:rPr>
            </w:pPr>
            <w:r w:rsidRPr="00B86717">
              <w:rPr>
                <w:sz w:val="20"/>
                <w:szCs w:val="20"/>
                <w:lang w:eastAsia="ru-RU"/>
              </w:rPr>
              <w:t>Подписание инвестором договора и технических условий подключения к сетям</w:t>
            </w:r>
          </w:p>
        </w:tc>
        <w:tc>
          <w:tcPr>
            <w:tcW w:w="1559" w:type="dxa"/>
          </w:tcPr>
          <w:p w14:paraId="5774E06D" w14:textId="2BBF6675" w:rsidR="0054687A" w:rsidRPr="00B86717" w:rsidRDefault="00696A97" w:rsidP="00B86717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30 </w:t>
            </w:r>
            <w:r w:rsidR="00465B1E" w:rsidRPr="00B86717">
              <w:rPr>
                <w:sz w:val="20"/>
                <w:szCs w:val="20"/>
              </w:rPr>
              <w:br/>
            </w:r>
            <w:r w:rsidRPr="00B86717">
              <w:rPr>
                <w:sz w:val="20"/>
                <w:szCs w:val="20"/>
              </w:rPr>
              <w:t>рабочих дней</w:t>
            </w:r>
          </w:p>
        </w:tc>
        <w:tc>
          <w:tcPr>
            <w:tcW w:w="1701" w:type="dxa"/>
          </w:tcPr>
          <w:p w14:paraId="5774E06E" w14:textId="140263EE" w:rsidR="0054687A" w:rsidRPr="00B86717" w:rsidRDefault="00696A97" w:rsidP="00B86717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30 </w:t>
            </w:r>
            <w:r w:rsidR="00465B1E" w:rsidRPr="00B86717">
              <w:rPr>
                <w:sz w:val="20"/>
                <w:szCs w:val="20"/>
              </w:rPr>
              <w:br/>
            </w:r>
            <w:r w:rsidRPr="00B86717">
              <w:rPr>
                <w:sz w:val="20"/>
                <w:szCs w:val="20"/>
              </w:rPr>
              <w:t>рабочих дней</w:t>
            </w:r>
          </w:p>
        </w:tc>
        <w:tc>
          <w:tcPr>
            <w:tcW w:w="1134" w:type="dxa"/>
          </w:tcPr>
          <w:p w14:paraId="5774E06F" w14:textId="77777777" w:rsidR="0054687A" w:rsidRPr="00B86717" w:rsidRDefault="0054687A" w:rsidP="00B86717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5774E070" w14:textId="77777777" w:rsidR="0054687A" w:rsidRPr="00B86717" w:rsidRDefault="0054687A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Заполненный и подписанный сетевой организацией проект договора о подключении (технологическом присоединении) (далее - ДТП) в 2 экземплярах и технические условия (далее - ТУ), как неотъемлемое приложение к договора о подключении (технологическом присоединении).</w:t>
            </w:r>
          </w:p>
        </w:tc>
        <w:tc>
          <w:tcPr>
            <w:tcW w:w="2126" w:type="dxa"/>
          </w:tcPr>
          <w:p w14:paraId="5774E071" w14:textId="77777777" w:rsidR="0054687A" w:rsidRPr="00B86717" w:rsidRDefault="0054687A" w:rsidP="00B86717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B86717">
              <w:rPr>
                <w:color w:val="333333"/>
                <w:sz w:val="20"/>
                <w:szCs w:val="20"/>
                <w:lang w:eastAsia="ru-RU"/>
              </w:rPr>
              <w:t>Заключенный</w:t>
            </w:r>
          </w:p>
          <w:p w14:paraId="5774E072" w14:textId="77777777" w:rsidR="0054687A" w:rsidRPr="00B86717" w:rsidRDefault="0054687A" w:rsidP="00B86717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B86717">
              <w:rPr>
                <w:color w:val="333333"/>
                <w:sz w:val="20"/>
                <w:szCs w:val="20"/>
                <w:lang w:eastAsia="ru-RU"/>
              </w:rPr>
              <w:t>(подписанный</w:t>
            </w:r>
          </w:p>
          <w:p w14:paraId="5774E074" w14:textId="389B4BE8" w:rsidR="0054687A" w:rsidRPr="00B86717" w:rsidRDefault="0054687A" w:rsidP="00B86717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B86717">
              <w:rPr>
                <w:color w:val="333333"/>
                <w:sz w:val="20"/>
                <w:szCs w:val="20"/>
                <w:lang w:eastAsia="ru-RU"/>
              </w:rPr>
              <w:t>сетевой организацией и</w:t>
            </w:r>
            <w:r w:rsidR="00465B1E" w:rsidRPr="00B86717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B86717">
              <w:rPr>
                <w:color w:val="333333"/>
                <w:sz w:val="20"/>
                <w:szCs w:val="20"/>
                <w:lang w:eastAsia="ru-RU"/>
              </w:rPr>
              <w:t>инвестором)</w:t>
            </w:r>
          </w:p>
          <w:p w14:paraId="5774E076" w14:textId="451AAF2F" w:rsidR="0054687A" w:rsidRPr="00B86717" w:rsidRDefault="0054687A" w:rsidP="00B86717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B86717">
              <w:rPr>
                <w:color w:val="333333"/>
                <w:sz w:val="20"/>
                <w:szCs w:val="20"/>
                <w:lang w:eastAsia="ru-RU"/>
              </w:rPr>
              <w:t>договор о</w:t>
            </w:r>
            <w:r w:rsidR="00465B1E" w:rsidRPr="00B86717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B86717">
              <w:rPr>
                <w:color w:val="333333"/>
                <w:sz w:val="20"/>
                <w:szCs w:val="20"/>
                <w:lang w:eastAsia="ru-RU"/>
              </w:rPr>
              <w:t>подключении</w:t>
            </w:r>
          </w:p>
          <w:p w14:paraId="5774E077" w14:textId="77777777" w:rsidR="0054687A" w:rsidRPr="00B86717" w:rsidRDefault="0054687A" w:rsidP="00B86717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B86717">
              <w:rPr>
                <w:color w:val="333333"/>
                <w:sz w:val="20"/>
                <w:szCs w:val="20"/>
                <w:lang w:eastAsia="ru-RU"/>
              </w:rPr>
              <w:t>(технологическом</w:t>
            </w:r>
          </w:p>
          <w:p w14:paraId="5774E078" w14:textId="77777777" w:rsidR="0054687A" w:rsidRPr="00B86717" w:rsidRDefault="0054687A" w:rsidP="00B86717">
            <w:pPr>
              <w:ind w:left="57" w:right="57"/>
              <w:rPr>
                <w:sz w:val="20"/>
                <w:szCs w:val="20"/>
              </w:rPr>
            </w:pPr>
            <w:r w:rsidRPr="00B86717">
              <w:rPr>
                <w:color w:val="333333"/>
                <w:sz w:val="20"/>
                <w:szCs w:val="20"/>
                <w:lang w:eastAsia="ru-RU"/>
              </w:rPr>
              <w:t>присоединении).</w:t>
            </w:r>
          </w:p>
        </w:tc>
        <w:tc>
          <w:tcPr>
            <w:tcW w:w="1701" w:type="dxa"/>
          </w:tcPr>
          <w:p w14:paraId="5774E079" w14:textId="77777777" w:rsidR="0054687A" w:rsidRPr="00B86717" w:rsidRDefault="0054687A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5774E07A" w14:textId="77777777" w:rsidR="0054687A" w:rsidRPr="00B86717" w:rsidRDefault="0054687A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Малый и средний бизнес - до 150 кВт</w:t>
            </w:r>
          </w:p>
        </w:tc>
        <w:tc>
          <w:tcPr>
            <w:tcW w:w="1700" w:type="dxa"/>
          </w:tcPr>
          <w:p w14:paraId="5774E07B" w14:textId="77777777" w:rsidR="0054687A" w:rsidRPr="00B86717" w:rsidRDefault="0054687A" w:rsidP="00B86717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В случае несогласия с представленным сетевой организацией ДТП и (или) несоответствия его Правилам инвестор вправе в течение </w:t>
            </w:r>
            <w:r w:rsidRPr="00B86717">
              <w:rPr>
                <w:bCs/>
                <w:sz w:val="20"/>
                <w:szCs w:val="20"/>
              </w:rPr>
              <w:t xml:space="preserve">10 календарных дней </w:t>
            </w:r>
            <w:r w:rsidRPr="00B86717">
              <w:rPr>
                <w:sz w:val="20"/>
                <w:szCs w:val="20"/>
              </w:rPr>
              <w:t xml:space="preserve">со дня получения проекта ДТП и ТУ, подписанного сетевой организацией, направить мотивированный отказ от подписания проекта ДТП с предложением об изменении представленного проекта ДТП и требованием о приведении его в соответствие с Правилами. </w:t>
            </w:r>
          </w:p>
          <w:p w14:paraId="5774E07C" w14:textId="77777777" w:rsidR="0054687A" w:rsidRPr="00B86717" w:rsidRDefault="0054687A" w:rsidP="00B86717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В случае не направления </w:t>
            </w:r>
            <w:r w:rsidR="00696A97" w:rsidRPr="00B86717">
              <w:rPr>
                <w:sz w:val="20"/>
                <w:szCs w:val="20"/>
              </w:rPr>
              <w:lastRenderedPageBreak/>
              <w:t>инвестором п</w:t>
            </w:r>
            <w:r w:rsidRPr="00B86717">
              <w:rPr>
                <w:sz w:val="20"/>
                <w:szCs w:val="20"/>
              </w:rPr>
              <w:t xml:space="preserve">одписанного проекта договора либо мотивированного отказа от его подписания, но не ранее чем через 30 рабочих дней со дня получения </w:t>
            </w:r>
            <w:r w:rsidR="00696A97" w:rsidRPr="00B86717">
              <w:rPr>
                <w:sz w:val="20"/>
                <w:szCs w:val="20"/>
              </w:rPr>
              <w:t xml:space="preserve">инвестором </w:t>
            </w:r>
            <w:r w:rsidRPr="00B86717">
              <w:rPr>
                <w:sz w:val="20"/>
                <w:szCs w:val="20"/>
              </w:rPr>
              <w:t xml:space="preserve">подписанного сетевой организацией проекта договора и технических условий, поданная этим </w:t>
            </w:r>
            <w:r w:rsidR="00696A97" w:rsidRPr="00B86717">
              <w:rPr>
                <w:sz w:val="20"/>
                <w:szCs w:val="20"/>
              </w:rPr>
              <w:t>инвестором</w:t>
            </w:r>
            <w:r w:rsidRPr="00B86717">
              <w:rPr>
                <w:sz w:val="20"/>
                <w:szCs w:val="20"/>
              </w:rPr>
              <w:t xml:space="preserve"> заявка аннулируется. </w:t>
            </w:r>
            <w:r w:rsidR="00696A97" w:rsidRPr="00B86717">
              <w:rPr>
                <w:sz w:val="20"/>
                <w:szCs w:val="20"/>
              </w:rPr>
              <w:t>Сетевая организация</w:t>
            </w:r>
            <w:r w:rsidRPr="00B86717">
              <w:rPr>
                <w:sz w:val="20"/>
                <w:szCs w:val="20"/>
              </w:rPr>
              <w:t xml:space="preserve"> </w:t>
            </w:r>
            <w:r w:rsidR="00696A97" w:rsidRPr="00B86717">
              <w:rPr>
                <w:sz w:val="20"/>
                <w:szCs w:val="20"/>
              </w:rPr>
              <w:t xml:space="preserve">направляет инвестору </w:t>
            </w:r>
            <w:r w:rsidRPr="00B86717">
              <w:rPr>
                <w:sz w:val="20"/>
                <w:szCs w:val="20"/>
              </w:rPr>
              <w:t xml:space="preserve">уведомление о прекращении работы по заявке. </w:t>
            </w:r>
          </w:p>
          <w:p w14:paraId="5774E07D" w14:textId="77777777" w:rsidR="0054687A" w:rsidRPr="00B86717" w:rsidRDefault="0054687A" w:rsidP="00B86717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В случае направления </w:t>
            </w:r>
            <w:r w:rsidR="00696A97" w:rsidRPr="00B86717">
              <w:rPr>
                <w:sz w:val="20"/>
                <w:szCs w:val="20"/>
              </w:rPr>
              <w:t>инвестором</w:t>
            </w:r>
            <w:r w:rsidRPr="00B86717">
              <w:rPr>
                <w:sz w:val="20"/>
                <w:szCs w:val="20"/>
              </w:rPr>
              <w:t xml:space="preserve"> в течение 10 рабочих дней после получения </w:t>
            </w:r>
            <w:r w:rsidR="00696A97" w:rsidRPr="00B86717">
              <w:rPr>
                <w:sz w:val="20"/>
                <w:szCs w:val="20"/>
              </w:rPr>
              <w:t>сетевой организации</w:t>
            </w:r>
            <w:r w:rsidRPr="00B86717">
              <w:rPr>
                <w:sz w:val="20"/>
                <w:szCs w:val="20"/>
              </w:rPr>
              <w:t xml:space="preserve"> проекта договора мотивированного отказа от подписания этого проекта договора </w:t>
            </w:r>
            <w:r w:rsidRPr="00B86717">
              <w:rPr>
                <w:sz w:val="20"/>
                <w:szCs w:val="20"/>
              </w:rPr>
              <w:lastRenderedPageBreak/>
              <w:t xml:space="preserve">с требованием приведения его в соответствие с Правилами технологического присоединения </w:t>
            </w:r>
            <w:proofErr w:type="spellStart"/>
            <w:r w:rsidRPr="00B86717">
              <w:rPr>
                <w:sz w:val="20"/>
                <w:szCs w:val="20"/>
              </w:rPr>
              <w:t>энергопринимающих</w:t>
            </w:r>
            <w:proofErr w:type="spellEnd"/>
            <w:r w:rsidRPr="00B86717">
              <w:rPr>
                <w:sz w:val="20"/>
                <w:szCs w:val="20"/>
              </w:rPr>
              <w:t xml:space="preserve"> устройств потребителей к электрическим сетям, </w:t>
            </w:r>
            <w:r w:rsidR="00696A97" w:rsidRPr="00B86717">
              <w:rPr>
                <w:sz w:val="20"/>
                <w:szCs w:val="20"/>
              </w:rPr>
              <w:t>сетевая организация</w:t>
            </w:r>
            <w:r w:rsidRPr="00B86717">
              <w:rPr>
                <w:sz w:val="20"/>
                <w:szCs w:val="20"/>
              </w:rPr>
              <w:t xml:space="preserve"> обязан привести проект ДТП в соответствие с Правилами технологического присоединения </w:t>
            </w:r>
            <w:proofErr w:type="spellStart"/>
            <w:r w:rsidRPr="00B86717">
              <w:rPr>
                <w:sz w:val="20"/>
                <w:szCs w:val="20"/>
              </w:rPr>
              <w:t>энергопринимающих</w:t>
            </w:r>
            <w:proofErr w:type="spellEnd"/>
            <w:r w:rsidRPr="00B86717">
              <w:rPr>
                <w:sz w:val="20"/>
                <w:szCs w:val="20"/>
              </w:rPr>
              <w:t xml:space="preserve"> устройств потребителей к электрическим сетям в течение 10 рабочих дней со дня получения такого требования и представить </w:t>
            </w:r>
            <w:r w:rsidR="00696A97" w:rsidRPr="00B86717">
              <w:rPr>
                <w:sz w:val="20"/>
                <w:szCs w:val="20"/>
              </w:rPr>
              <w:t>инвестору</w:t>
            </w:r>
            <w:r w:rsidRPr="00B86717">
              <w:rPr>
                <w:sz w:val="20"/>
                <w:szCs w:val="20"/>
              </w:rPr>
              <w:t xml:space="preserve"> новую редакцию проекта ДТП для подписания, а также ТУ, как неотъемлемое приложение к ДТП.</w:t>
            </w:r>
          </w:p>
        </w:tc>
      </w:tr>
      <w:tr w:rsidR="00FB7F48" w:rsidRPr="00B86717" w14:paraId="5774E090" w14:textId="77777777" w:rsidTr="00FE4BE4">
        <w:trPr>
          <w:trHeight w:val="553"/>
        </w:trPr>
        <w:tc>
          <w:tcPr>
            <w:tcW w:w="591" w:type="dxa"/>
          </w:tcPr>
          <w:p w14:paraId="5774E07F" w14:textId="77777777" w:rsidR="00FB7F48" w:rsidRPr="00B86717" w:rsidRDefault="00FB7F48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985" w:type="dxa"/>
          </w:tcPr>
          <w:p w14:paraId="5774E080" w14:textId="77777777" w:rsidR="00FB7F48" w:rsidRPr="00B86717" w:rsidRDefault="00FB7F48" w:rsidP="00B86717">
            <w:pPr>
              <w:pStyle w:val="TableParagraph"/>
              <w:ind w:left="57" w:right="57"/>
              <w:rPr>
                <w:sz w:val="20"/>
                <w:szCs w:val="20"/>
                <w:lang w:eastAsia="ru-RU"/>
              </w:rPr>
            </w:pPr>
            <w:r w:rsidRPr="00B86717">
              <w:rPr>
                <w:sz w:val="20"/>
                <w:szCs w:val="20"/>
                <w:lang w:eastAsia="ru-RU"/>
              </w:rPr>
              <w:t xml:space="preserve">Внесение инвестором платы за подключение (технологическое присоединение) по договору о </w:t>
            </w:r>
            <w:r w:rsidRPr="00B86717">
              <w:rPr>
                <w:sz w:val="20"/>
                <w:szCs w:val="20"/>
                <w:lang w:eastAsia="ru-RU"/>
              </w:rPr>
              <w:lastRenderedPageBreak/>
              <w:t>подключении</w:t>
            </w:r>
          </w:p>
        </w:tc>
        <w:tc>
          <w:tcPr>
            <w:tcW w:w="1559" w:type="dxa"/>
          </w:tcPr>
          <w:p w14:paraId="5774E081" w14:textId="77777777" w:rsidR="00FB7F48" w:rsidRPr="00B86717" w:rsidRDefault="00FB7F48" w:rsidP="00B86717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lastRenderedPageBreak/>
              <w:t>В сроки, определенные договором</w:t>
            </w:r>
          </w:p>
        </w:tc>
        <w:tc>
          <w:tcPr>
            <w:tcW w:w="1701" w:type="dxa"/>
          </w:tcPr>
          <w:p w14:paraId="5774E082" w14:textId="77777777" w:rsidR="00FB7F48" w:rsidRPr="00B86717" w:rsidRDefault="00FB7F48" w:rsidP="00B86717">
            <w:pPr>
              <w:pStyle w:val="Default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В сроки, определенные договором</w:t>
            </w:r>
          </w:p>
        </w:tc>
        <w:tc>
          <w:tcPr>
            <w:tcW w:w="1134" w:type="dxa"/>
          </w:tcPr>
          <w:p w14:paraId="5774E083" w14:textId="77777777" w:rsidR="00FB7F48" w:rsidRPr="00B86717" w:rsidRDefault="00FB7F48" w:rsidP="00B86717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5774E089" w14:textId="3238FEEA" w:rsidR="00FB7F48" w:rsidRPr="00B86717" w:rsidRDefault="00FB7F48" w:rsidP="00B86717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B86717">
              <w:rPr>
                <w:color w:val="333333"/>
                <w:sz w:val="20"/>
                <w:szCs w:val="20"/>
                <w:lang w:eastAsia="ru-RU"/>
              </w:rPr>
              <w:t>Заключенный</w:t>
            </w:r>
            <w:r w:rsidR="00465B1E" w:rsidRPr="00B86717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B86717">
              <w:rPr>
                <w:color w:val="333333"/>
                <w:sz w:val="20"/>
                <w:szCs w:val="20"/>
                <w:lang w:eastAsia="ru-RU"/>
              </w:rPr>
              <w:t>(подписанный</w:t>
            </w:r>
            <w:r w:rsidR="00465B1E" w:rsidRPr="00B86717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B86717">
              <w:rPr>
                <w:color w:val="333333"/>
                <w:sz w:val="20"/>
                <w:szCs w:val="20"/>
                <w:lang w:eastAsia="ru-RU"/>
              </w:rPr>
              <w:t>сетевой организацией и</w:t>
            </w:r>
            <w:r w:rsidR="00465B1E" w:rsidRPr="00B86717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B86717">
              <w:rPr>
                <w:color w:val="333333"/>
                <w:sz w:val="20"/>
                <w:szCs w:val="20"/>
                <w:lang w:eastAsia="ru-RU"/>
              </w:rPr>
              <w:t>инвестором)</w:t>
            </w:r>
            <w:r w:rsidR="00465B1E" w:rsidRPr="00B86717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B86717">
              <w:rPr>
                <w:color w:val="333333"/>
                <w:sz w:val="20"/>
                <w:szCs w:val="20"/>
                <w:lang w:eastAsia="ru-RU"/>
              </w:rPr>
              <w:t>договор о</w:t>
            </w:r>
            <w:r w:rsidR="00465B1E" w:rsidRPr="00B86717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B86717">
              <w:rPr>
                <w:color w:val="333333"/>
                <w:sz w:val="20"/>
                <w:szCs w:val="20"/>
                <w:lang w:eastAsia="ru-RU"/>
              </w:rPr>
              <w:t>подключении</w:t>
            </w:r>
          </w:p>
          <w:p w14:paraId="5774E08A" w14:textId="77777777" w:rsidR="00FB7F48" w:rsidRPr="00B86717" w:rsidRDefault="00FB7F48" w:rsidP="00B86717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B86717">
              <w:rPr>
                <w:color w:val="333333"/>
                <w:sz w:val="20"/>
                <w:szCs w:val="20"/>
                <w:lang w:eastAsia="ru-RU"/>
              </w:rPr>
              <w:t>(технологическом</w:t>
            </w:r>
          </w:p>
          <w:p w14:paraId="5774E08B" w14:textId="77777777" w:rsidR="00FB7F48" w:rsidRPr="00B86717" w:rsidRDefault="00FB7F48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color w:val="333333"/>
                <w:sz w:val="20"/>
                <w:szCs w:val="20"/>
                <w:lang w:eastAsia="ru-RU"/>
              </w:rPr>
              <w:lastRenderedPageBreak/>
              <w:t>присоединении).</w:t>
            </w:r>
          </w:p>
        </w:tc>
        <w:tc>
          <w:tcPr>
            <w:tcW w:w="2126" w:type="dxa"/>
          </w:tcPr>
          <w:p w14:paraId="5774E08C" w14:textId="77777777" w:rsidR="00FB7F48" w:rsidRPr="00B86717" w:rsidRDefault="00FB7F48" w:rsidP="00B86717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B86717">
              <w:rPr>
                <w:color w:val="333333"/>
                <w:sz w:val="20"/>
                <w:szCs w:val="20"/>
                <w:lang w:eastAsia="ru-RU"/>
              </w:rPr>
              <w:lastRenderedPageBreak/>
              <w:t>Документ подтверждающий оплату</w:t>
            </w:r>
          </w:p>
        </w:tc>
        <w:tc>
          <w:tcPr>
            <w:tcW w:w="1701" w:type="dxa"/>
          </w:tcPr>
          <w:p w14:paraId="5774E08D" w14:textId="77777777" w:rsidR="00FB7F48" w:rsidRPr="00B86717" w:rsidRDefault="00404BC4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</w:tcPr>
          <w:p w14:paraId="5774E08E" w14:textId="77777777" w:rsidR="00FB7F48" w:rsidRPr="00B86717" w:rsidRDefault="00FB7F48" w:rsidP="00B86717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Малый и средний бизнес - до 150 кВт</w:t>
            </w:r>
          </w:p>
        </w:tc>
        <w:tc>
          <w:tcPr>
            <w:tcW w:w="1700" w:type="dxa"/>
          </w:tcPr>
          <w:p w14:paraId="5774E08F" w14:textId="77777777" w:rsidR="00FB7F48" w:rsidRPr="00B86717" w:rsidRDefault="00404BC4" w:rsidP="00B86717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Размер платы за технологическое присоединение к электрическим сетям рассчитывается </w:t>
            </w:r>
            <w:r w:rsidR="007A3860" w:rsidRPr="00B86717">
              <w:rPr>
                <w:sz w:val="20"/>
                <w:szCs w:val="20"/>
              </w:rPr>
              <w:lastRenderedPageBreak/>
              <w:t>сетевой организацией</w:t>
            </w:r>
            <w:r w:rsidRPr="00B86717">
              <w:rPr>
                <w:sz w:val="20"/>
                <w:szCs w:val="20"/>
              </w:rPr>
              <w:t xml:space="preserve"> на основании утвержденных органами государственного регулирования субъектов РФ стандартизированных тарифных ставок, ставок за единицу максимальной мощности и формулы платы за технологическое присоединение, либо по индивидуальному проекту в соответствии с Методическими указаниями по определению размера платы за технологическое прис</w:t>
            </w:r>
            <w:r w:rsidR="007A3860" w:rsidRPr="00B86717">
              <w:rPr>
                <w:sz w:val="20"/>
                <w:szCs w:val="20"/>
              </w:rPr>
              <w:t>оединение к электрическим сетям.</w:t>
            </w:r>
          </w:p>
        </w:tc>
      </w:tr>
      <w:tr w:rsidR="00100D91" w:rsidRPr="00B86717" w14:paraId="5774E0A8" w14:textId="77777777" w:rsidTr="00FE4BE4">
        <w:trPr>
          <w:trHeight w:val="1106"/>
        </w:trPr>
        <w:tc>
          <w:tcPr>
            <w:tcW w:w="591" w:type="dxa"/>
          </w:tcPr>
          <w:p w14:paraId="5774E091" w14:textId="77777777" w:rsidR="00100D91" w:rsidRPr="00B86717" w:rsidRDefault="00FB7F48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lastRenderedPageBreak/>
              <w:t>5</w:t>
            </w:r>
            <w:r w:rsidR="00100D91" w:rsidRPr="00B86717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5774E092" w14:textId="77777777" w:rsidR="00100D91" w:rsidRPr="00B86717" w:rsidRDefault="00054719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bCs/>
                <w:sz w:val="20"/>
                <w:szCs w:val="20"/>
              </w:rPr>
              <w:t xml:space="preserve">Выполнение сторонами мероприятий по технологическому присоединению </w:t>
            </w:r>
            <w:proofErr w:type="spellStart"/>
            <w:r w:rsidRPr="00B86717">
              <w:rPr>
                <w:bCs/>
                <w:sz w:val="20"/>
                <w:szCs w:val="20"/>
              </w:rPr>
              <w:t>энергопринимающих</w:t>
            </w:r>
            <w:proofErr w:type="spellEnd"/>
            <w:r w:rsidRPr="00B86717">
              <w:rPr>
                <w:bCs/>
                <w:sz w:val="20"/>
                <w:szCs w:val="20"/>
              </w:rPr>
              <w:t xml:space="preserve"> устройств к электрическим сетям.</w:t>
            </w:r>
          </w:p>
        </w:tc>
        <w:tc>
          <w:tcPr>
            <w:tcW w:w="1559" w:type="dxa"/>
          </w:tcPr>
          <w:p w14:paraId="5774E093" w14:textId="77777777" w:rsidR="00100D91" w:rsidRPr="00B86717" w:rsidRDefault="00C367D8" w:rsidP="00B86717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от 15 рабочих дней до 1 года</w:t>
            </w:r>
          </w:p>
        </w:tc>
        <w:tc>
          <w:tcPr>
            <w:tcW w:w="1701" w:type="dxa"/>
          </w:tcPr>
          <w:p w14:paraId="5774E094" w14:textId="77777777" w:rsidR="00100D91" w:rsidRPr="00B86717" w:rsidRDefault="00C367D8" w:rsidP="00B86717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от 15 рабочих дней до 1 года</w:t>
            </w:r>
          </w:p>
        </w:tc>
        <w:tc>
          <w:tcPr>
            <w:tcW w:w="1134" w:type="dxa"/>
          </w:tcPr>
          <w:p w14:paraId="5774E095" w14:textId="77777777" w:rsidR="00100D91" w:rsidRPr="00B86717" w:rsidRDefault="007A3860" w:rsidP="00B86717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5774E096" w14:textId="77777777" w:rsidR="007A3860" w:rsidRPr="00B86717" w:rsidRDefault="007A3860" w:rsidP="00B86717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B86717">
              <w:rPr>
                <w:color w:val="333333"/>
                <w:sz w:val="20"/>
                <w:szCs w:val="20"/>
                <w:lang w:eastAsia="ru-RU"/>
              </w:rPr>
              <w:t>1. Заключенный</w:t>
            </w:r>
          </w:p>
          <w:p w14:paraId="5774E097" w14:textId="77777777" w:rsidR="007A3860" w:rsidRPr="00B86717" w:rsidRDefault="007A3860" w:rsidP="00B86717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B86717">
              <w:rPr>
                <w:color w:val="333333"/>
                <w:sz w:val="20"/>
                <w:szCs w:val="20"/>
                <w:lang w:eastAsia="ru-RU"/>
              </w:rPr>
              <w:t>(подписанный</w:t>
            </w:r>
          </w:p>
          <w:p w14:paraId="5774E098" w14:textId="77777777" w:rsidR="007A3860" w:rsidRPr="00B86717" w:rsidRDefault="007A3860" w:rsidP="00B86717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B86717">
              <w:rPr>
                <w:color w:val="333333"/>
                <w:sz w:val="20"/>
                <w:szCs w:val="20"/>
                <w:lang w:eastAsia="ru-RU"/>
              </w:rPr>
              <w:t>сетевой организацией и</w:t>
            </w:r>
          </w:p>
          <w:p w14:paraId="5774E099" w14:textId="77777777" w:rsidR="007A3860" w:rsidRPr="00B86717" w:rsidRDefault="007A3860" w:rsidP="00B86717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B86717">
              <w:rPr>
                <w:color w:val="333333"/>
                <w:sz w:val="20"/>
                <w:szCs w:val="20"/>
                <w:lang w:eastAsia="ru-RU"/>
              </w:rPr>
              <w:t>инвестором)</w:t>
            </w:r>
          </w:p>
          <w:p w14:paraId="5774E09A" w14:textId="77777777" w:rsidR="007A3860" w:rsidRPr="00B86717" w:rsidRDefault="007A3860" w:rsidP="00B86717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B86717">
              <w:rPr>
                <w:color w:val="333333"/>
                <w:sz w:val="20"/>
                <w:szCs w:val="20"/>
                <w:lang w:eastAsia="ru-RU"/>
              </w:rPr>
              <w:t>договор о</w:t>
            </w:r>
          </w:p>
          <w:p w14:paraId="5774E09B" w14:textId="77777777" w:rsidR="007A3860" w:rsidRPr="00B86717" w:rsidRDefault="007A3860" w:rsidP="00B86717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B86717">
              <w:rPr>
                <w:color w:val="333333"/>
                <w:sz w:val="20"/>
                <w:szCs w:val="20"/>
                <w:lang w:eastAsia="ru-RU"/>
              </w:rPr>
              <w:t>подключении</w:t>
            </w:r>
          </w:p>
          <w:p w14:paraId="5774E09C" w14:textId="77777777" w:rsidR="007A3860" w:rsidRPr="00B86717" w:rsidRDefault="007A3860" w:rsidP="00B86717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B86717">
              <w:rPr>
                <w:color w:val="333333"/>
                <w:sz w:val="20"/>
                <w:szCs w:val="20"/>
                <w:lang w:eastAsia="ru-RU"/>
              </w:rPr>
              <w:t>(технологическом</w:t>
            </w:r>
          </w:p>
          <w:p w14:paraId="5774E09D" w14:textId="77777777" w:rsidR="00100D91" w:rsidRPr="00B86717" w:rsidRDefault="007A3860" w:rsidP="00B86717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B86717">
              <w:rPr>
                <w:color w:val="333333"/>
                <w:sz w:val="20"/>
                <w:szCs w:val="20"/>
                <w:lang w:eastAsia="ru-RU"/>
              </w:rPr>
              <w:t>присоединении).</w:t>
            </w:r>
          </w:p>
          <w:p w14:paraId="5774E09E" w14:textId="77777777" w:rsidR="007A3860" w:rsidRPr="00B86717" w:rsidRDefault="007A3860" w:rsidP="00B86717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B86717">
              <w:rPr>
                <w:color w:val="333333"/>
                <w:sz w:val="20"/>
                <w:szCs w:val="20"/>
                <w:lang w:eastAsia="ru-RU"/>
              </w:rPr>
              <w:t>2. Документ подтверждающий оплату</w:t>
            </w:r>
          </w:p>
        </w:tc>
        <w:tc>
          <w:tcPr>
            <w:tcW w:w="2126" w:type="dxa"/>
          </w:tcPr>
          <w:p w14:paraId="5774E09F" w14:textId="77777777" w:rsidR="00100D91" w:rsidRPr="00B86717" w:rsidRDefault="00350443" w:rsidP="00B86717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B86717">
              <w:rPr>
                <w:sz w:val="20"/>
                <w:szCs w:val="20"/>
              </w:rPr>
              <w:t>Уведомление о выполнении технических условий</w:t>
            </w:r>
          </w:p>
        </w:tc>
        <w:tc>
          <w:tcPr>
            <w:tcW w:w="1701" w:type="dxa"/>
          </w:tcPr>
          <w:p w14:paraId="5774E0A0" w14:textId="77777777" w:rsidR="00100D91" w:rsidRPr="00B86717" w:rsidRDefault="00100D91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5774E0A1" w14:textId="77777777" w:rsidR="00100D91" w:rsidRPr="00B86717" w:rsidRDefault="00713914" w:rsidP="00B86717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Малый и средний бизнес - до 150 кВт</w:t>
            </w:r>
          </w:p>
        </w:tc>
        <w:tc>
          <w:tcPr>
            <w:tcW w:w="1700" w:type="dxa"/>
          </w:tcPr>
          <w:p w14:paraId="5774E0A2" w14:textId="77777777" w:rsidR="00C367D8" w:rsidRPr="00B86717" w:rsidRDefault="00C367D8" w:rsidP="00B86717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Мероприятия по технологическому присоединению </w:t>
            </w:r>
            <w:proofErr w:type="spellStart"/>
            <w:r w:rsidRPr="00B86717">
              <w:rPr>
                <w:sz w:val="20"/>
                <w:szCs w:val="20"/>
              </w:rPr>
              <w:t>энергопринимающих</w:t>
            </w:r>
            <w:proofErr w:type="spellEnd"/>
            <w:r w:rsidRPr="00B86717">
              <w:rPr>
                <w:sz w:val="20"/>
                <w:szCs w:val="20"/>
              </w:rPr>
              <w:t xml:space="preserve"> устройств, в соответствии с условиями ДТП и ТУ, включают в себя: </w:t>
            </w:r>
          </w:p>
          <w:p w14:paraId="5774E0A3" w14:textId="77777777" w:rsidR="00C367D8" w:rsidRPr="00B86717" w:rsidRDefault="00C367D8" w:rsidP="00B86717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а) подготовку, выдачу сетевой организацией </w:t>
            </w:r>
            <w:r w:rsidRPr="00B86717">
              <w:rPr>
                <w:sz w:val="20"/>
                <w:szCs w:val="20"/>
              </w:rPr>
              <w:lastRenderedPageBreak/>
              <w:t xml:space="preserve">технических условий и их согласование с системным оператором (субъектом оперативно-диспетчерского управления в технологически изолированных территориальных электроэнергетических системах), а в случае выдачи технических условий электростанцией - согласование их с системным оператором (субъектом оперативно-диспетчерского управления в технологически изолированных территориальных электроэнергетических системах) и со смежными сетевыми организациями; </w:t>
            </w:r>
          </w:p>
          <w:p w14:paraId="5774E0A4" w14:textId="77777777" w:rsidR="00C367D8" w:rsidRPr="00B86717" w:rsidRDefault="00C367D8" w:rsidP="00B86717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б) разработку сетевой организацией проектной документации согласно обязательствам, предусмотренным</w:t>
            </w:r>
            <w:r w:rsidRPr="00B86717">
              <w:rPr>
                <w:sz w:val="20"/>
                <w:szCs w:val="20"/>
              </w:rPr>
              <w:lastRenderedPageBreak/>
              <w:t xml:space="preserve">и техническими условиями; </w:t>
            </w:r>
          </w:p>
          <w:p w14:paraId="5774E0A5" w14:textId="77777777" w:rsidR="00C367D8" w:rsidRPr="00B86717" w:rsidRDefault="00C367D8" w:rsidP="00B86717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в) разработку инвестором проектной документации в границах его земельного участка согласно обязательствам, предусмотренным техническими условиями, за исключением случаев, когда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обязательной; </w:t>
            </w:r>
          </w:p>
          <w:p w14:paraId="5774E0A6" w14:textId="466FFA2E" w:rsidR="00C367D8" w:rsidRPr="00B86717" w:rsidRDefault="00C367D8" w:rsidP="00B86717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г) выполнение инвестором и сетевой организацией технических условий, включая осуществление сетевой организацией мероприятий по подключению </w:t>
            </w:r>
            <w:proofErr w:type="spellStart"/>
            <w:r w:rsidRPr="00B86717">
              <w:rPr>
                <w:sz w:val="20"/>
                <w:szCs w:val="20"/>
              </w:rPr>
              <w:t>энергопринимающих</w:t>
            </w:r>
            <w:proofErr w:type="spellEnd"/>
            <w:r w:rsidRPr="00B86717">
              <w:rPr>
                <w:sz w:val="20"/>
                <w:szCs w:val="20"/>
              </w:rPr>
              <w:t xml:space="preserve"> устройств под действие устройств </w:t>
            </w:r>
            <w:r w:rsidRPr="00B86717">
              <w:rPr>
                <w:sz w:val="20"/>
                <w:szCs w:val="20"/>
              </w:rPr>
              <w:lastRenderedPageBreak/>
              <w:t xml:space="preserve">сетевой, противоаварийной и режимной автоматики, а также выполнение инвестором и сетевой организацией требований по созданию (модернизации) комплексов и устройств релейной защиты и автоматики в порядке, предусмотренном Правилами технологического функционирования электроэнергетических систем, утвержденными постановлением Правительства Российской Федерации от 13 августа 2018 г. </w:t>
            </w:r>
            <w:r w:rsidR="00260BF7" w:rsidRPr="00B86717">
              <w:rPr>
                <w:sz w:val="20"/>
                <w:szCs w:val="20"/>
              </w:rPr>
              <w:br/>
            </w:r>
            <w:r w:rsidRPr="00B86717">
              <w:rPr>
                <w:sz w:val="20"/>
                <w:szCs w:val="20"/>
              </w:rPr>
              <w:t xml:space="preserve">№ 937 «Об утверждении Правил технологического функционирования электроэнергетических систем и о внесении изменений в некоторые акты </w:t>
            </w:r>
            <w:r w:rsidRPr="00B86717">
              <w:rPr>
                <w:sz w:val="20"/>
                <w:szCs w:val="20"/>
              </w:rPr>
              <w:lastRenderedPageBreak/>
              <w:t>Правительства Российской Федерации» (далее - Правила технологического функционирования электроэнергетических систем);</w:t>
            </w:r>
          </w:p>
          <w:p w14:paraId="5774E0A7" w14:textId="77777777" w:rsidR="00100D91" w:rsidRPr="00B86717" w:rsidRDefault="00C367D8" w:rsidP="00B86717">
            <w:pPr>
              <w:pStyle w:val="Default"/>
              <w:ind w:left="57" w:right="57"/>
              <w:rPr>
                <w:color w:val="333333"/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д) проверку выполнения инвестором и сетевой организацией технических условий в соответствии с разделом IX Правил технологического присоединения </w:t>
            </w:r>
            <w:proofErr w:type="spellStart"/>
            <w:r w:rsidRPr="00B86717">
              <w:rPr>
                <w:sz w:val="20"/>
                <w:szCs w:val="20"/>
              </w:rPr>
              <w:t>энергопринимающих</w:t>
            </w:r>
            <w:proofErr w:type="spellEnd"/>
            <w:r w:rsidRPr="00B86717">
              <w:rPr>
                <w:sz w:val="20"/>
                <w:szCs w:val="20"/>
              </w:rPr>
              <w:t xml:space="preserve"> устройств потребителей к электрическим сетям.</w:t>
            </w:r>
          </w:p>
        </w:tc>
      </w:tr>
      <w:tr w:rsidR="00902861" w:rsidRPr="00B86717" w14:paraId="5774E0BD" w14:textId="77777777" w:rsidTr="00FE4BE4">
        <w:trPr>
          <w:trHeight w:val="2963"/>
        </w:trPr>
        <w:tc>
          <w:tcPr>
            <w:tcW w:w="591" w:type="dxa"/>
          </w:tcPr>
          <w:p w14:paraId="5774E0A9" w14:textId="77777777" w:rsidR="00902861" w:rsidRPr="00B86717" w:rsidRDefault="00350443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lastRenderedPageBreak/>
              <w:t>6</w:t>
            </w:r>
            <w:r w:rsidR="00902861" w:rsidRPr="00B86717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5774E0AA" w14:textId="77777777" w:rsidR="00902861" w:rsidRPr="00B86717" w:rsidRDefault="00054719" w:rsidP="00B86717">
            <w:pPr>
              <w:pStyle w:val="a5"/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B86717">
              <w:rPr>
                <w:bCs/>
                <w:sz w:val="20"/>
                <w:szCs w:val="20"/>
              </w:rPr>
              <w:t>Проверка выполнения технических условий</w:t>
            </w:r>
            <w:r w:rsidRPr="00B86717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14:paraId="5774E0AB" w14:textId="77777777" w:rsidR="00902861" w:rsidRPr="00B86717" w:rsidRDefault="00045C48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10 календарных дней</w:t>
            </w:r>
          </w:p>
        </w:tc>
        <w:tc>
          <w:tcPr>
            <w:tcW w:w="1701" w:type="dxa"/>
          </w:tcPr>
          <w:p w14:paraId="5774E0AC" w14:textId="77777777" w:rsidR="00902861" w:rsidRPr="00B86717" w:rsidRDefault="00045C48" w:rsidP="00B86717">
            <w:pPr>
              <w:pStyle w:val="a5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10 календарных дней</w:t>
            </w:r>
          </w:p>
        </w:tc>
        <w:tc>
          <w:tcPr>
            <w:tcW w:w="1134" w:type="dxa"/>
          </w:tcPr>
          <w:p w14:paraId="5774E0AD" w14:textId="77777777" w:rsidR="00902861" w:rsidRPr="00B86717" w:rsidRDefault="00045C48" w:rsidP="00B86717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от 3 до 5</w:t>
            </w:r>
          </w:p>
        </w:tc>
        <w:tc>
          <w:tcPr>
            <w:tcW w:w="2268" w:type="dxa"/>
          </w:tcPr>
          <w:p w14:paraId="5774E0AE" w14:textId="77777777" w:rsidR="00045C48" w:rsidRPr="00B86717" w:rsidRDefault="00045C48" w:rsidP="00B86717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1. Уведомление о выполнении технических условий с приложением следующих документов: </w:t>
            </w:r>
          </w:p>
          <w:p w14:paraId="5774E0AF" w14:textId="77777777" w:rsidR="00045C48" w:rsidRPr="00B86717" w:rsidRDefault="00045C48" w:rsidP="00B86717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а) копии сертификатов соответствия на электрооборудование (если оборудование подлежит обязательной сертификации) и (или) сопроводительной технической документации (технические паспорта </w:t>
            </w:r>
            <w:r w:rsidRPr="00B86717">
              <w:rPr>
                <w:sz w:val="20"/>
                <w:szCs w:val="20"/>
              </w:rPr>
              <w:lastRenderedPageBreak/>
              <w:t xml:space="preserve">оборудования), содержащей сведения о сертификации; </w:t>
            </w:r>
          </w:p>
          <w:p w14:paraId="5774E0B0" w14:textId="77777777" w:rsidR="00045C48" w:rsidRPr="00B86717" w:rsidRDefault="00045C48" w:rsidP="00B86717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б) копии разделов проектной документации, предусматривающих технические решения, обеспечивающие выполнение технических условий, в том числе решения по схеме внешнего электроснабжения (схеме выдачи мощности объектов по производству электрической энергии), релейной защите и автоматике, телемеханике и связи, в случае если такая проектная документация не была представлена инвестором в сетевую организацию  до направления инвестором в сетевую организацию  уведомления о выполнении технических условий (если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обязательной); </w:t>
            </w:r>
          </w:p>
          <w:p w14:paraId="5774E0B1" w14:textId="77777777" w:rsidR="00045C48" w:rsidRPr="00B86717" w:rsidRDefault="00045C48" w:rsidP="00B86717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в) документы, содержащие </w:t>
            </w:r>
            <w:r w:rsidRPr="00B86717">
              <w:rPr>
                <w:sz w:val="20"/>
                <w:szCs w:val="20"/>
              </w:rPr>
              <w:lastRenderedPageBreak/>
              <w:t xml:space="preserve">информацию о результатах проведения пусконаладочных работ, приемо-сдаточных и иных испытаний; </w:t>
            </w:r>
          </w:p>
          <w:p w14:paraId="5774E0B2" w14:textId="77777777" w:rsidR="00045C48" w:rsidRPr="00B86717" w:rsidRDefault="00045C48" w:rsidP="00B86717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г) нормальные (временные нормальные) схемы электрических соединений объекта электроэнергетики, в том числе однолинейная схема электрических соединений (электроустановки). </w:t>
            </w:r>
          </w:p>
          <w:p w14:paraId="5774E0B3" w14:textId="77777777" w:rsidR="00902861" w:rsidRPr="00B86717" w:rsidRDefault="00045C48" w:rsidP="00B86717">
            <w:pPr>
              <w:pStyle w:val="Default"/>
              <w:ind w:left="57" w:right="57"/>
              <w:rPr>
                <w:b/>
                <w:color w:val="333333"/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Документы, указанные в подпунктах «в» и «г» не требуются для представления заявителями, электрохозяйство которых включает в себя только вводное устройство напряжением до 1000В, осветительные установки, переносное электрооборудование и </w:t>
            </w:r>
            <w:proofErr w:type="spellStart"/>
            <w:r w:rsidRPr="00B86717">
              <w:rPr>
                <w:sz w:val="20"/>
                <w:szCs w:val="20"/>
              </w:rPr>
              <w:t>энергопринимающие</w:t>
            </w:r>
            <w:proofErr w:type="spellEnd"/>
            <w:r w:rsidRPr="00B86717">
              <w:rPr>
                <w:sz w:val="20"/>
                <w:szCs w:val="20"/>
              </w:rPr>
              <w:t xml:space="preserve"> устройства номинальным напряжением не выше 380В. </w:t>
            </w:r>
          </w:p>
        </w:tc>
        <w:tc>
          <w:tcPr>
            <w:tcW w:w="2126" w:type="dxa"/>
          </w:tcPr>
          <w:p w14:paraId="5774E0B4" w14:textId="77777777" w:rsidR="00902861" w:rsidRPr="00B86717" w:rsidRDefault="00B230A9" w:rsidP="00B86717">
            <w:pPr>
              <w:shd w:val="clear" w:color="auto" w:fill="FFFFFF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lastRenderedPageBreak/>
              <w:t xml:space="preserve">1. </w:t>
            </w:r>
            <w:r w:rsidR="00C04CAE" w:rsidRPr="00B86717">
              <w:rPr>
                <w:sz w:val="20"/>
                <w:szCs w:val="20"/>
              </w:rPr>
              <w:t>Акт выполнения технических условий</w:t>
            </w:r>
            <w:r w:rsidRPr="00B86717">
              <w:rPr>
                <w:sz w:val="20"/>
                <w:szCs w:val="20"/>
              </w:rPr>
              <w:t xml:space="preserve"> (составляется в 2 экземплярах).</w:t>
            </w:r>
          </w:p>
          <w:p w14:paraId="5774E0B5" w14:textId="77777777" w:rsidR="00B230A9" w:rsidRPr="00B86717" w:rsidRDefault="00B230A9" w:rsidP="00B86717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B86717">
              <w:rPr>
                <w:sz w:val="20"/>
                <w:szCs w:val="20"/>
              </w:rPr>
              <w:t>2. Акт допуска прибора учета к эксплуатации.</w:t>
            </w:r>
          </w:p>
        </w:tc>
        <w:tc>
          <w:tcPr>
            <w:tcW w:w="1701" w:type="dxa"/>
          </w:tcPr>
          <w:p w14:paraId="5774E0B6" w14:textId="77777777" w:rsidR="00902861" w:rsidRPr="00B86717" w:rsidRDefault="00902861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5774E0B7" w14:textId="77777777" w:rsidR="00902861" w:rsidRPr="00B86717" w:rsidRDefault="00713914" w:rsidP="00B86717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Малый и средний бизнес - до 150 кВт</w:t>
            </w:r>
          </w:p>
        </w:tc>
        <w:tc>
          <w:tcPr>
            <w:tcW w:w="1700" w:type="dxa"/>
          </w:tcPr>
          <w:p w14:paraId="5774E0B8" w14:textId="77777777" w:rsidR="006D4275" w:rsidRPr="00B86717" w:rsidRDefault="006D4275" w:rsidP="00B86717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Проверка выполнения технических условий инвестора в случаях, когда не требуется согласование технических условий (до 5 МВт) с субъектом оперативно-диспетчерского контроля, осуществляется </w:t>
            </w:r>
            <w:r w:rsidRPr="00B86717">
              <w:rPr>
                <w:sz w:val="20"/>
                <w:szCs w:val="20"/>
              </w:rPr>
              <w:lastRenderedPageBreak/>
              <w:t xml:space="preserve">сетевой организацией и включает следующие мероприятия: </w:t>
            </w:r>
          </w:p>
          <w:p w14:paraId="5774E0B9" w14:textId="77777777" w:rsidR="006D4275" w:rsidRPr="00B86717" w:rsidRDefault="006D4275" w:rsidP="00B86717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а) проверка соответствия технических решений, параметров оборудования (устройств) и проведенных мероприятий, указанных в технических условиях; </w:t>
            </w:r>
          </w:p>
          <w:p w14:paraId="5774E0BA" w14:textId="05174942" w:rsidR="006D4275" w:rsidRPr="00B86717" w:rsidRDefault="006D4275" w:rsidP="00B86717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б) осмотр сетевой организацией  присоединяемых электроустановок инвестора, построенных (реконструированных) в рамках выполнения технических условий, на соответствие фактически выполненных инвестором мероприятий по технологическому присоединению техническим условиям и представленной инве</w:t>
            </w:r>
            <w:r w:rsidR="00B86717">
              <w:rPr>
                <w:sz w:val="20"/>
                <w:szCs w:val="20"/>
              </w:rPr>
              <w:t>с</w:t>
            </w:r>
            <w:r w:rsidRPr="00B86717">
              <w:rPr>
                <w:sz w:val="20"/>
                <w:szCs w:val="20"/>
              </w:rPr>
              <w:t xml:space="preserve">тором проектной документации, а в </w:t>
            </w:r>
            <w:r w:rsidRPr="00B86717">
              <w:rPr>
                <w:sz w:val="20"/>
                <w:szCs w:val="20"/>
              </w:rPr>
              <w:lastRenderedPageBreak/>
              <w:t xml:space="preserve">случаях, если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обязательной, - на соответствие требованиям, определенным в технических условиях. </w:t>
            </w:r>
          </w:p>
          <w:p w14:paraId="5774E0BB" w14:textId="77777777" w:rsidR="006D4275" w:rsidRPr="00B86717" w:rsidRDefault="006D4275" w:rsidP="00B86717">
            <w:pPr>
              <w:pStyle w:val="Default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Мероприятия по проверке выполнения ТУ инвестором с </w:t>
            </w:r>
            <w:proofErr w:type="spellStart"/>
            <w:r w:rsidRPr="00B86717">
              <w:rPr>
                <w:sz w:val="20"/>
                <w:szCs w:val="20"/>
              </w:rPr>
              <w:t>энергопринимающими</w:t>
            </w:r>
            <w:proofErr w:type="spellEnd"/>
            <w:r w:rsidRPr="00B86717">
              <w:rPr>
                <w:sz w:val="20"/>
                <w:szCs w:val="20"/>
              </w:rPr>
              <w:t xml:space="preserve"> устройствами мощностью до 150 кВт включительно (по одному источнику электроснабжения), а также инвестором, для которого в соответствии с законодательством Российской Федерации о градостроительной деятельности разработка проектной </w:t>
            </w:r>
            <w:r w:rsidRPr="00B86717">
              <w:rPr>
                <w:sz w:val="20"/>
                <w:szCs w:val="20"/>
              </w:rPr>
              <w:lastRenderedPageBreak/>
              <w:t xml:space="preserve">документации не является обязательной </w:t>
            </w:r>
            <w:r w:rsidRPr="00B86717">
              <w:rPr>
                <w:iCs/>
                <w:sz w:val="20"/>
                <w:szCs w:val="20"/>
              </w:rPr>
              <w:t xml:space="preserve">(осуществление подготовки проектной документации не требуется при строительстве, реконструкции, капитальном ремонте объектов индивидуального жилищного строительства (отдельно стоящих жилых домов с количеством этажей не более чем три, предназначенных для проживания одной семьи).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строительства), </w:t>
            </w:r>
            <w:r w:rsidRPr="00B86717">
              <w:rPr>
                <w:bCs/>
                <w:sz w:val="20"/>
                <w:szCs w:val="20"/>
              </w:rPr>
              <w:t xml:space="preserve">проводятся непосредственно в процессе проведения </w:t>
            </w:r>
            <w:r w:rsidRPr="00B86717">
              <w:rPr>
                <w:bCs/>
                <w:sz w:val="20"/>
                <w:szCs w:val="20"/>
              </w:rPr>
              <w:lastRenderedPageBreak/>
              <w:t>осмотра электроустановок заявителей.</w:t>
            </w:r>
            <w:r w:rsidRPr="00B86717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774E0BC" w14:textId="77777777" w:rsidR="00902861" w:rsidRPr="00B86717" w:rsidRDefault="006D4275" w:rsidP="00B86717">
            <w:pPr>
              <w:pStyle w:val="Default"/>
              <w:ind w:left="57" w:right="57"/>
              <w:rPr>
                <w:color w:val="333333"/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Сетевая организация проводит осмотр присоединяемых электроустановок инвестора до распределительного устройства (пункта) инвестора (распределительного устройства трансформаторной подстанции, вводного устройства, вводного распределительного устройства, главного распределительного щита, узла учета) включительно. </w:t>
            </w:r>
          </w:p>
        </w:tc>
      </w:tr>
      <w:tr w:rsidR="009328EA" w:rsidRPr="00B86717" w14:paraId="5774E0D0" w14:textId="77777777" w:rsidTr="00FE4BE4">
        <w:trPr>
          <w:trHeight w:val="1688"/>
        </w:trPr>
        <w:tc>
          <w:tcPr>
            <w:tcW w:w="591" w:type="dxa"/>
          </w:tcPr>
          <w:p w14:paraId="5774E0BE" w14:textId="577C1828" w:rsidR="009328EA" w:rsidRPr="00B86717" w:rsidRDefault="00B86717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  <w:r w:rsidR="009328EA" w:rsidRPr="00B86717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5774E0BF" w14:textId="77777777" w:rsidR="009328EA" w:rsidRPr="00B86717" w:rsidRDefault="00054719" w:rsidP="00B86717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B86717">
              <w:rPr>
                <w:sz w:val="20"/>
                <w:szCs w:val="20"/>
              </w:rPr>
              <w:t>Технологическое присоединение и подача напряжения.</w:t>
            </w:r>
          </w:p>
        </w:tc>
        <w:tc>
          <w:tcPr>
            <w:tcW w:w="1559" w:type="dxa"/>
          </w:tcPr>
          <w:p w14:paraId="5774E0C0" w14:textId="36BEB625" w:rsidR="009328EA" w:rsidRPr="00B86717" w:rsidRDefault="00F566A1" w:rsidP="00B86717">
            <w:pPr>
              <w:pStyle w:val="a5"/>
              <w:ind w:left="57" w:right="57"/>
              <w:jc w:val="center"/>
              <w:rPr>
                <w:sz w:val="20"/>
                <w:szCs w:val="20"/>
                <w:lang w:eastAsia="ru-RU"/>
              </w:rPr>
            </w:pPr>
            <w:r w:rsidRPr="00B86717">
              <w:rPr>
                <w:sz w:val="20"/>
                <w:szCs w:val="20"/>
                <w:lang w:eastAsia="ru-RU"/>
              </w:rPr>
              <w:t>10</w:t>
            </w:r>
            <w:r w:rsidR="00B230A9" w:rsidRPr="00B86717">
              <w:rPr>
                <w:sz w:val="20"/>
                <w:szCs w:val="20"/>
                <w:lang w:eastAsia="ru-RU"/>
              </w:rPr>
              <w:t xml:space="preserve"> </w:t>
            </w:r>
            <w:r w:rsidR="003B1A4D" w:rsidRPr="00B86717">
              <w:rPr>
                <w:sz w:val="20"/>
                <w:szCs w:val="20"/>
                <w:lang w:eastAsia="ru-RU"/>
              </w:rPr>
              <w:br/>
            </w:r>
            <w:r w:rsidR="00B230A9" w:rsidRPr="00B86717">
              <w:rPr>
                <w:sz w:val="20"/>
                <w:szCs w:val="20"/>
                <w:lang w:eastAsia="ru-RU"/>
              </w:rPr>
              <w:t>рабочих дней</w:t>
            </w:r>
          </w:p>
        </w:tc>
        <w:tc>
          <w:tcPr>
            <w:tcW w:w="1701" w:type="dxa"/>
          </w:tcPr>
          <w:p w14:paraId="5774E0C1" w14:textId="4AE9D41D" w:rsidR="009328EA" w:rsidRPr="00B86717" w:rsidRDefault="00F566A1" w:rsidP="00B86717">
            <w:pPr>
              <w:pStyle w:val="a5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10</w:t>
            </w:r>
            <w:r w:rsidR="00B230A9" w:rsidRPr="00B86717">
              <w:rPr>
                <w:sz w:val="20"/>
                <w:szCs w:val="20"/>
              </w:rPr>
              <w:t xml:space="preserve"> </w:t>
            </w:r>
            <w:r w:rsidR="003B1A4D" w:rsidRPr="00B86717">
              <w:rPr>
                <w:sz w:val="20"/>
                <w:szCs w:val="20"/>
              </w:rPr>
              <w:br/>
            </w:r>
            <w:r w:rsidR="00B230A9" w:rsidRPr="00B86717">
              <w:rPr>
                <w:sz w:val="20"/>
                <w:szCs w:val="20"/>
              </w:rPr>
              <w:t>рабочих дней</w:t>
            </w:r>
          </w:p>
        </w:tc>
        <w:tc>
          <w:tcPr>
            <w:tcW w:w="1134" w:type="dxa"/>
          </w:tcPr>
          <w:p w14:paraId="5774E0C2" w14:textId="77777777" w:rsidR="009328EA" w:rsidRPr="00B86717" w:rsidRDefault="009328EA" w:rsidP="00B86717">
            <w:pPr>
              <w:pStyle w:val="TableParagraph"/>
              <w:ind w:right="57" w:firstLine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5774E0C3" w14:textId="77777777" w:rsidR="00B230A9" w:rsidRPr="00B86717" w:rsidRDefault="00B230A9" w:rsidP="00B86717">
            <w:pPr>
              <w:shd w:val="clear" w:color="auto" w:fill="FFFFFF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1. Акт выполнения технических условий (составляется в 2 экземплярах).</w:t>
            </w:r>
          </w:p>
          <w:p w14:paraId="5774E0C4" w14:textId="77777777" w:rsidR="009328EA" w:rsidRPr="00B86717" w:rsidRDefault="00B230A9" w:rsidP="00B86717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B86717">
              <w:rPr>
                <w:sz w:val="20"/>
                <w:szCs w:val="20"/>
              </w:rPr>
              <w:t>2. Акт допуска прибора учета к эксплуатации.</w:t>
            </w:r>
          </w:p>
        </w:tc>
        <w:tc>
          <w:tcPr>
            <w:tcW w:w="2126" w:type="dxa"/>
          </w:tcPr>
          <w:p w14:paraId="5774E0C5" w14:textId="77777777" w:rsidR="009328EA" w:rsidRPr="00B86717" w:rsidRDefault="00B230A9" w:rsidP="00B86717">
            <w:pPr>
              <w:shd w:val="clear" w:color="auto" w:fill="FFFFFF"/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1. Акт об осуществлении технологического присоединения.</w:t>
            </w:r>
          </w:p>
          <w:p w14:paraId="5774E0C6" w14:textId="77777777" w:rsidR="00B230A9" w:rsidRPr="00B86717" w:rsidRDefault="00B230A9" w:rsidP="00B86717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B86717">
              <w:rPr>
                <w:sz w:val="20"/>
                <w:szCs w:val="20"/>
              </w:rPr>
              <w:t>2. Распоряжение на включение объекта под рабочее напряжение.</w:t>
            </w:r>
          </w:p>
        </w:tc>
        <w:tc>
          <w:tcPr>
            <w:tcW w:w="1701" w:type="dxa"/>
          </w:tcPr>
          <w:p w14:paraId="5774E0C7" w14:textId="77777777" w:rsidR="009328EA" w:rsidRPr="00B86717" w:rsidRDefault="009328EA" w:rsidP="00B86717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5774E0C8" w14:textId="77777777" w:rsidR="009328EA" w:rsidRPr="00B86717" w:rsidRDefault="00713914" w:rsidP="00B86717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Малый и средний бизнес - до 150 кВт</w:t>
            </w:r>
          </w:p>
        </w:tc>
        <w:tc>
          <w:tcPr>
            <w:tcW w:w="1700" w:type="dxa"/>
          </w:tcPr>
          <w:p w14:paraId="5774E0C9" w14:textId="77777777" w:rsidR="00B230A9" w:rsidRPr="00B86717" w:rsidRDefault="00552BDF" w:rsidP="00B86717">
            <w:pPr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Инвестор в</w:t>
            </w:r>
            <w:r w:rsidR="00B230A9" w:rsidRPr="00B86717">
              <w:rPr>
                <w:sz w:val="20"/>
                <w:szCs w:val="20"/>
              </w:rPr>
              <w:t xml:space="preserve"> целях осуществления технологического присоединения объектов </w:t>
            </w:r>
            <w:r w:rsidRPr="00B86717">
              <w:rPr>
                <w:sz w:val="20"/>
                <w:szCs w:val="20"/>
              </w:rPr>
              <w:t>инвестора</w:t>
            </w:r>
            <w:r w:rsidR="00B230A9" w:rsidRPr="00B86717">
              <w:rPr>
                <w:sz w:val="20"/>
                <w:szCs w:val="20"/>
              </w:rPr>
              <w:t>, после оформления Акта о выполнении технических условий</w:t>
            </w:r>
            <w:r w:rsidRPr="00B86717">
              <w:rPr>
                <w:sz w:val="20"/>
                <w:szCs w:val="20"/>
              </w:rPr>
              <w:t xml:space="preserve"> направляе</w:t>
            </w:r>
            <w:r w:rsidR="00B230A9" w:rsidRPr="00B86717">
              <w:rPr>
                <w:sz w:val="20"/>
                <w:szCs w:val="20"/>
              </w:rPr>
              <w:t xml:space="preserve">т в адрес органа федерального государственного </w:t>
            </w:r>
            <w:r w:rsidR="00B230A9" w:rsidRPr="00B86717">
              <w:rPr>
                <w:sz w:val="20"/>
                <w:szCs w:val="20"/>
              </w:rPr>
              <w:lastRenderedPageBreak/>
              <w:t>энергетического надзора уведомлени</w:t>
            </w:r>
            <w:r w:rsidRPr="00B86717">
              <w:rPr>
                <w:sz w:val="20"/>
                <w:szCs w:val="20"/>
              </w:rPr>
              <w:t>е</w:t>
            </w:r>
            <w:r w:rsidR="00B230A9" w:rsidRPr="00B86717">
              <w:rPr>
                <w:sz w:val="20"/>
                <w:szCs w:val="20"/>
              </w:rPr>
              <w:t xml:space="preserve"> о готовности на ввод объектов в эксплуатацию.</w:t>
            </w:r>
          </w:p>
          <w:p w14:paraId="5774E0CA" w14:textId="77777777" w:rsidR="00B230A9" w:rsidRPr="00B86717" w:rsidRDefault="00B230A9" w:rsidP="00B86717">
            <w:pPr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>К уведомлению о готовности на ввод в эксплуатацию объектов прилагаются следующие документы:</w:t>
            </w:r>
          </w:p>
          <w:p w14:paraId="5774E0CB" w14:textId="77777777" w:rsidR="00B230A9" w:rsidRPr="00B86717" w:rsidRDefault="00B230A9" w:rsidP="00B86717">
            <w:pPr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а) </w:t>
            </w:r>
            <w:r w:rsidR="00552BDF" w:rsidRPr="00B86717">
              <w:rPr>
                <w:sz w:val="20"/>
                <w:szCs w:val="20"/>
              </w:rPr>
              <w:t>к</w:t>
            </w:r>
            <w:r w:rsidRPr="00B86717">
              <w:rPr>
                <w:sz w:val="20"/>
                <w:szCs w:val="20"/>
              </w:rPr>
              <w:t>опия технических условий;</w:t>
            </w:r>
          </w:p>
          <w:p w14:paraId="5774E0CC" w14:textId="77777777" w:rsidR="00B230A9" w:rsidRPr="00B86717" w:rsidRDefault="00B230A9" w:rsidP="00B86717">
            <w:pPr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б) </w:t>
            </w:r>
            <w:r w:rsidR="00552BDF" w:rsidRPr="00B86717">
              <w:rPr>
                <w:sz w:val="20"/>
                <w:szCs w:val="20"/>
              </w:rPr>
              <w:t>к</w:t>
            </w:r>
            <w:r w:rsidRPr="00B86717">
              <w:rPr>
                <w:sz w:val="20"/>
                <w:szCs w:val="20"/>
              </w:rPr>
              <w:t>опия акта о выполнении заявителем технических условий;</w:t>
            </w:r>
          </w:p>
          <w:p w14:paraId="5774E0CD" w14:textId="77777777" w:rsidR="00B230A9" w:rsidRPr="00B86717" w:rsidRDefault="00B230A9" w:rsidP="00B86717">
            <w:pPr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в) </w:t>
            </w:r>
            <w:r w:rsidR="00552BDF" w:rsidRPr="00B86717">
              <w:rPr>
                <w:sz w:val="20"/>
                <w:szCs w:val="20"/>
              </w:rPr>
              <w:t>к</w:t>
            </w:r>
            <w:r w:rsidRPr="00B86717">
              <w:rPr>
                <w:sz w:val="20"/>
                <w:szCs w:val="20"/>
              </w:rPr>
              <w:t xml:space="preserve">опии разделов проектной документации, предусматривающих технические решения, обеспечивающие выполнение технических условий, в том числе решения по схеме внешнего электроснабжения (схеме выдачи мощности объектов по производству электрической энергии), </w:t>
            </w:r>
            <w:r w:rsidRPr="00B86717">
              <w:rPr>
                <w:sz w:val="20"/>
                <w:szCs w:val="20"/>
              </w:rPr>
              <w:lastRenderedPageBreak/>
              <w:t>релейной защите, за исключением случаев, когда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обязательной;</w:t>
            </w:r>
          </w:p>
          <w:p w14:paraId="5774E0CE" w14:textId="77777777" w:rsidR="00B230A9" w:rsidRPr="00B86717" w:rsidRDefault="00B230A9" w:rsidP="00B86717">
            <w:pPr>
              <w:ind w:left="57" w:right="57"/>
              <w:rPr>
                <w:sz w:val="20"/>
                <w:szCs w:val="20"/>
              </w:rPr>
            </w:pPr>
            <w:r w:rsidRPr="00B86717">
              <w:rPr>
                <w:sz w:val="20"/>
                <w:szCs w:val="20"/>
              </w:rPr>
              <w:t xml:space="preserve">г) </w:t>
            </w:r>
            <w:r w:rsidR="00552BDF" w:rsidRPr="00B86717">
              <w:rPr>
                <w:sz w:val="20"/>
                <w:szCs w:val="20"/>
              </w:rPr>
              <w:t>н</w:t>
            </w:r>
            <w:r w:rsidRPr="00B86717">
              <w:rPr>
                <w:sz w:val="20"/>
                <w:szCs w:val="20"/>
              </w:rPr>
              <w:t xml:space="preserve">ормальные (временные нормальные) схемы электрических соединений объектов электроэнергетики (в отношении объектов электросетевого хозяйства сетевых организаций классом напряжения до 20кВ включительно, построенных (реконструированных) в целях осуществления технологического присоединения объектов заявителя, предусмотренных техническими </w:t>
            </w:r>
            <w:r w:rsidRPr="00B86717">
              <w:rPr>
                <w:sz w:val="20"/>
                <w:szCs w:val="20"/>
              </w:rPr>
              <w:lastRenderedPageBreak/>
              <w:t>условиями на технологическое присоединение)</w:t>
            </w:r>
            <w:r w:rsidR="00552BDF" w:rsidRPr="00B86717">
              <w:rPr>
                <w:sz w:val="20"/>
                <w:szCs w:val="20"/>
              </w:rPr>
              <w:t>.</w:t>
            </w:r>
          </w:p>
          <w:p w14:paraId="5774E0CF" w14:textId="77777777" w:rsidR="009328EA" w:rsidRPr="00B86717" w:rsidRDefault="00552BDF" w:rsidP="00B86717">
            <w:pPr>
              <w:ind w:left="57" w:right="57"/>
              <w:rPr>
                <w:sz w:val="20"/>
                <w:szCs w:val="20"/>
                <w:lang w:eastAsia="ru-RU"/>
              </w:rPr>
            </w:pPr>
            <w:r w:rsidRPr="00B86717">
              <w:rPr>
                <w:sz w:val="20"/>
                <w:szCs w:val="20"/>
              </w:rPr>
              <w:t xml:space="preserve">Уведомление о готовности на ввод в эксплуатацию объектов и прилагаемые к нему документы направляются </w:t>
            </w:r>
            <w:r w:rsidR="00423BD3" w:rsidRPr="00B86717">
              <w:rPr>
                <w:sz w:val="20"/>
                <w:szCs w:val="20"/>
              </w:rPr>
              <w:t>сетевой организацией</w:t>
            </w:r>
            <w:r w:rsidRPr="00B86717">
              <w:rPr>
                <w:sz w:val="20"/>
                <w:szCs w:val="20"/>
              </w:rPr>
              <w:t xml:space="preserve"> в орган федерального государственного энергетического надзора в отношении объектов электросетевого хозяйства классом напряжения до 20кВ включительно, построенных (реконструированных) в рамках исполнения технических условий в целях осуществления технологического присоединения объектов </w:t>
            </w:r>
            <w:r w:rsidR="00423BD3" w:rsidRPr="00B86717">
              <w:rPr>
                <w:sz w:val="20"/>
                <w:szCs w:val="20"/>
              </w:rPr>
              <w:t>инвестора</w:t>
            </w:r>
            <w:r w:rsidRPr="00B86717">
              <w:rPr>
                <w:sz w:val="20"/>
                <w:szCs w:val="20"/>
              </w:rPr>
              <w:t xml:space="preserve">, в срок не позднее 5 дней до дня оформления акта об осуществлении </w:t>
            </w:r>
            <w:r w:rsidRPr="00B86717">
              <w:rPr>
                <w:sz w:val="20"/>
                <w:szCs w:val="20"/>
              </w:rPr>
              <w:lastRenderedPageBreak/>
              <w:t>технологического присоединения способом, позволяющим установить дату отправки и получения уведомления о готовности на ввод в эксплуатацию объектов.</w:t>
            </w:r>
          </w:p>
        </w:tc>
      </w:tr>
    </w:tbl>
    <w:p w14:paraId="5774E0D1" w14:textId="77777777" w:rsidR="0019545C" w:rsidRPr="00B86717" w:rsidRDefault="0019545C" w:rsidP="00B86717">
      <w:pPr>
        <w:ind w:left="57" w:right="57"/>
        <w:rPr>
          <w:sz w:val="20"/>
          <w:szCs w:val="20"/>
        </w:rPr>
      </w:pPr>
    </w:p>
    <w:sectPr w:rsidR="0019545C" w:rsidRPr="00B86717" w:rsidSect="00465B1E">
      <w:headerReference w:type="default" r:id="rId8"/>
      <w:pgSz w:w="16840" w:h="11910" w:orient="landscape"/>
      <w:pgMar w:top="1134" w:right="420" w:bottom="1134" w:left="601" w:header="71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4E0D4" w14:textId="77777777" w:rsidR="003328B3" w:rsidRDefault="003328B3">
      <w:r>
        <w:separator/>
      </w:r>
    </w:p>
  </w:endnote>
  <w:endnote w:type="continuationSeparator" w:id="0">
    <w:p w14:paraId="5774E0D5" w14:textId="77777777" w:rsidR="003328B3" w:rsidRDefault="00332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74E0D2" w14:textId="77777777" w:rsidR="003328B3" w:rsidRDefault="003328B3">
      <w:r>
        <w:separator/>
      </w:r>
    </w:p>
  </w:footnote>
  <w:footnote w:type="continuationSeparator" w:id="0">
    <w:p w14:paraId="5774E0D3" w14:textId="77777777" w:rsidR="003328B3" w:rsidRDefault="00332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6952582"/>
      <w:docPartObj>
        <w:docPartGallery w:val="Page Numbers (Top of Page)"/>
        <w:docPartUnique/>
      </w:docPartObj>
    </w:sdtPr>
    <w:sdtEndPr/>
    <w:sdtContent>
      <w:p w14:paraId="57B1E895" w14:textId="2B21A895" w:rsidR="00465B1E" w:rsidRDefault="00465B1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B26">
          <w:rPr>
            <w:noProof/>
          </w:rPr>
          <w:t>18</w:t>
        </w:r>
        <w:r>
          <w:fldChar w:fldCharType="end"/>
        </w:r>
      </w:p>
    </w:sdtContent>
  </w:sdt>
  <w:p w14:paraId="5774E0D6" w14:textId="55F5F481" w:rsidR="00EC0B21" w:rsidRDefault="00EC0B21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80F"/>
    <w:multiLevelType w:val="hybridMultilevel"/>
    <w:tmpl w:val="BE183660"/>
    <w:lvl w:ilvl="0" w:tplc="751067F4">
      <w:start w:val="2"/>
      <w:numFmt w:val="decimal"/>
      <w:lvlText w:val="%1."/>
      <w:lvlJc w:val="left"/>
      <w:pPr>
        <w:ind w:left="109" w:hanging="2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6AC5FE6">
      <w:numFmt w:val="bullet"/>
      <w:lvlText w:val="•"/>
      <w:lvlJc w:val="left"/>
      <w:pPr>
        <w:ind w:left="301" w:hanging="272"/>
      </w:pPr>
      <w:rPr>
        <w:rFonts w:hint="default"/>
        <w:lang w:val="ru-RU" w:eastAsia="en-US" w:bidi="ar-SA"/>
      </w:rPr>
    </w:lvl>
    <w:lvl w:ilvl="2" w:tplc="8328F2FE">
      <w:numFmt w:val="bullet"/>
      <w:lvlText w:val="•"/>
      <w:lvlJc w:val="left"/>
      <w:pPr>
        <w:ind w:left="503" w:hanging="272"/>
      </w:pPr>
      <w:rPr>
        <w:rFonts w:hint="default"/>
        <w:lang w:val="ru-RU" w:eastAsia="en-US" w:bidi="ar-SA"/>
      </w:rPr>
    </w:lvl>
    <w:lvl w:ilvl="3" w:tplc="7A8CBCDE">
      <w:numFmt w:val="bullet"/>
      <w:lvlText w:val="•"/>
      <w:lvlJc w:val="left"/>
      <w:pPr>
        <w:ind w:left="704" w:hanging="272"/>
      </w:pPr>
      <w:rPr>
        <w:rFonts w:hint="default"/>
        <w:lang w:val="ru-RU" w:eastAsia="en-US" w:bidi="ar-SA"/>
      </w:rPr>
    </w:lvl>
    <w:lvl w:ilvl="4" w:tplc="23A6EF98">
      <w:numFmt w:val="bullet"/>
      <w:lvlText w:val="•"/>
      <w:lvlJc w:val="left"/>
      <w:pPr>
        <w:ind w:left="906" w:hanging="272"/>
      </w:pPr>
      <w:rPr>
        <w:rFonts w:hint="default"/>
        <w:lang w:val="ru-RU" w:eastAsia="en-US" w:bidi="ar-SA"/>
      </w:rPr>
    </w:lvl>
    <w:lvl w:ilvl="5" w:tplc="4F8C0DCC">
      <w:numFmt w:val="bullet"/>
      <w:lvlText w:val="•"/>
      <w:lvlJc w:val="left"/>
      <w:pPr>
        <w:ind w:left="1108" w:hanging="272"/>
      </w:pPr>
      <w:rPr>
        <w:rFonts w:hint="default"/>
        <w:lang w:val="ru-RU" w:eastAsia="en-US" w:bidi="ar-SA"/>
      </w:rPr>
    </w:lvl>
    <w:lvl w:ilvl="6" w:tplc="918C2DC6">
      <w:numFmt w:val="bullet"/>
      <w:lvlText w:val="•"/>
      <w:lvlJc w:val="left"/>
      <w:pPr>
        <w:ind w:left="1309" w:hanging="272"/>
      </w:pPr>
      <w:rPr>
        <w:rFonts w:hint="default"/>
        <w:lang w:val="ru-RU" w:eastAsia="en-US" w:bidi="ar-SA"/>
      </w:rPr>
    </w:lvl>
    <w:lvl w:ilvl="7" w:tplc="7F041DEC">
      <w:numFmt w:val="bullet"/>
      <w:lvlText w:val="•"/>
      <w:lvlJc w:val="left"/>
      <w:pPr>
        <w:ind w:left="1511" w:hanging="272"/>
      </w:pPr>
      <w:rPr>
        <w:rFonts w:hint="default"/>
        <w:lang w:val="ru-RU" w:eastAsia="en-US" w:bidi="ar-SA"/>
      </w:rPr>
    </w:lvl>
    <w:lvl w:ilvl="8" w:tplc="61F454E8">
      <w:numFmt w:val="bullet"/>
      <w:lvlText w:val="•"/>
      <w:lvlJc w:val="left"/>
      <w:pPr>
        <w:ind w:left="1712" w:hanging="272"/>
      </w:pPr>
      <w:rPr>
        <w:rFonts w:hint="default"/>
        <w:lang w:val="ru-RU" w:eastAsia="en-US" w:bidi="ar-SA"/>
      </w:rPr>
    </w:lvl>
  </w:abstractNum>
  <w:abstractNum w:abstractNumId="1" w15:restartNumberingAfterBreak="0">
    <w:nsid w:val="1A782ACF"/>
    <w:multiLevelType w:val="hybridMultilevel"/>
    <w:tmpl w:val="07AA6E66"/>
    <w:lvl w:ilvl="0" w:tplc="DA8AA18C">
      <w:start w:val="1"/>
      <w:numFmt w:val="decimal"/>
      <w:lvlText w:val="%1."/>
      <w:lvlJc w:val="left"/>
      <w:pPr>
        <w:ind w:left="10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CEAAEEA">
      <w:numFmt w:val="bullet"/>
      <w:lvlText w:val="•"/>
      <w:lvlJc w:val="left"/>
      <w:pPr>
        <w:ind w:left="301" w:hanging="202"/>
      </w:pPr>
      <w:rPr>
        <w:rFonts w:hint="default"/>
        <w:lang w:val="ru-RU" w:eastAsia="en-US" w:bidi="ar-SA"/>
      </w:rPr>
    </w:lvl>
    <w:lvl w:ilvl="2" w:tplc="D182E052">
      <w:numFmt w:val="bullet"/>
      <w:lvlText w:val="•"/>
      <w:lvlJc w:val="left"/>
      <w:pPr>
        <w:ind w:left="503" w:hanging="202"/>
      </w:pPr>
      <w:rPr>
        <w:rFonts w:hint="default"/>
        <w:lang w:val="ru-RU" w:eastAsia="en-US" w:bidi="ar-SA"/>
      </w:rPr>
    </w:lvl>
    <w:lvl w:ilvl="3" w:tplc="4F328DBC">
      <w:numFmt w:val="bullet"/>
      <w:lvlText w:val="•"/>
      <w:lvlJc w:val="left"/>
      <w:pPr>
        <w:ind w:left="704" w:hanging="202"/>
      </w:pPr>
      <w:rPr>
        <w:rFonts w:hint="default"/>
        <w:lang w:val="ru-RU" w:eastAsia="en-US" w:bidi="ar-SA"/>
      </w:rPr>
    </w:lvl>
    <w:lvl w:ilvl="4" w:tplc="0DE4526A">
      <w:numFmt w:val="bullet"/>
      <w:lvlText w:val="•"/>
      <w:lvlJc w:val="left"/>
      <w:pPr>
        <w:ind w:left="906" w:hanging="202"/>
      </w:pPr>
      <w:rPr>
        <w:rFonts w:hint="default"/>
        <w:lang w:val="ru-RU" w:eastAsia="en-US" w:bidi="ar-SA"/>
      </w:rPr>
    </w:lvl>
    <w:lvl w:ilvl="5" w:tplc="2FC402E8">
      <w:numFmt w:val="bullet"/>
      <w:lvlText w:val="•"/>
      <w:lvlJc w:val="left"/>
      <w:pPr>
        <w:ind w:left="1108" w:hanging="202"/>
      </w:pPr>
      <w:rPr>
        <w:rFonts w:hint="default"/>
        <w:lang w:val="ru-RU" w:eastAsia="en-US" w:bidi="ar-SA"/>
      </w:rPr>
    </w:lvl>
    <w:lvl w:ilvl="6" w:tplc="DC44BA34">
      <w:numFmt w:val="bullet"/>
      <w:lvlText w:val="•"/>
      <w:lvlJc w:val="left"/>
      <w:pPr>
        <w:ind w:left="1309" w:hanging="202"/>
      </w:pPr>
      <w:rPr>
        <w:rFonts w:hint="default"/>
        <w:lang w:val="ru-RU" w:eastAsia="en-US" w:bidi="ar-SA"/>
      </w:rPr>
    </w:lvl>
    <w:lvl w:ilvl="7" w:tplc="15D87BE2">
      <w:numFmt w:val="bullet"/>
      <w:lvlText w:val="•"/>
      <w:lvlJc w:val="left"/>
      <w:pPr>
        <w:ind w:left="1511" w:hanging="202"/>
      </w:pPr>
      <w:rPr>
        <w:rFonts w:hint="default"/>
        <w:lang w:val="ru-RU" w:eastAsia="en-US" w:bidi="ar-SA"/>
      </w:rPr>
    </w:lvl>
    <w:lvl w:ilvl="8" w:tplc="29A892F2">
      <w:numFmt w:val="bullet"/>
      <w:lvlText w:val="•"/>
      <w:lvlJc w:val="left"/>
      <w:pPr>
        <w:ind w:left="1712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3EAC1574"/>
    <w:multiLevelType w:val="multilevel"/>
    <w:tmpl w:val="938035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3" w15:restartNumberingAfterBreak="0">
    <w:nsid w:val="524E4A60"/>
    <w:multiLevelType w:val="hybridMultilevel"/>
    <w:tmpl w:val="22A8EE20"/>
    <w:lvl w:ilvl="0" w:tplc="DF2086C4">
      <w:start w:val="1"/>
      <w:numFmt w:val="decimal"/>
      <w:lvlText w:val="%1."/>
      <w:lvlJc w:val="left"/>
      <w:pPr>
        <w:ind w:left="109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DECA81C">
      <w:numFmt w:val="bullet"/>
      <w:lvlText w:val="•"/>
      <w:lvlJc w:val="left"/>
      <w:pPr>
        <w:ind w:left="301" w:hanging="312"/>
      </w:pPr>
      <w:rPr>
        <w:rFonts w:hint="default"/>
        <w:lang w:val="ru-RU" w:eastAsia="en-US" w:bidi="ar-SA"/>
      </w:rPr>
    </w:lvl>
    <w:lvl w:ilvl="2" w:tplc="B31EFDCA">
      <w:numFmt w:val="bullet"/>
      <w:lvlText w:val="•"/>
      <w:lvlJc w:val="left"/>
      <w:pPr>
        <w:ind w:left="503" w:hanging="312"/>
      </w:pPr>
      <w:rPr>
        <w:rFonts w:hint="default"/>
        <w:lang w:val="ru-RU" w:eastAsia="en-US" w:bidi="ar-SA"/>
      </w:rPr>
    </w:lvl>
    <w:lvl w:ilvl="3" w:tplc="D8DAA70C">
      <w:numFmt w:val="bullet"/>
      <w:lvlText w:val="•"/>
      <w:lvlJc w:val="left"/>
      <w:pPr>
        <w:ind w:left="704" w:hanging="312"/>
      </w:pPr>
      <w:rPr>
        <w:rFonts w:hint="default"/>
        <w:lang w:val="ru-RU" w:eastAsia="en-US" w:bidi="ar-SA"/>
      </w:rPr>
    </w:lvl>
    <w:lvl w:ilvl="4" w:tplc="F3906BFE">
      <w:numFmt w:val="bullet"/>
      <w:lvlText w:val="•"/>
      <w:lvlJc w:val="left"/>
      <w:pPr>
        <w:ind w:left="906" w:hanging="312"/>
      </w:pPr>
      <w:rPr>
        <w:rFonts w:hint="default"/>
        <w:lang w:val="ru-RU" w:eastAsia="en-US" w:bidi="ar-SA"/>
      </w:rPr>
    </w:lvl>
    <w:lvl w:ilvl="5" w:tplc="6FBABF04">
      <w:numFmt w:val="bullet"/>
      <w:lvlText w:val="•"/>
      <w:lvlJc w:val="left"/>
      <w:pPr>
        <w:ind w:left="1108" w:hanging="312"/>
      </w:pPr>
      <w:rPr>
        <w:rFonts w:hint="default"/>
        <w:lang w:val="ru-RU" w:eastAsia="en-US" w:bidi="ar-SA"/>
      </w:rPr>
    </w:lvl>
    <w:lvl w:ilvl="6" w:tplc="7588413C">
      <w:numFmt w:val="bullet"/>
      <w:lvlText w:val="•"/>
      <w:lvlJc w:val="left"/>
      <w:pPr>
        <w:ind w:left="1309" w:hanging="312"/>
      </w:pPr>
      <w:rPr>
        <w:rFonts w:hint="default"/>
        <w:lang w:val="ru-RU" w:eastAsia="en-US" w:bidi="ar-SA"/>
      </w:rPr>
    </w:lvl>
    <w:lvl w:ilvl="7" w:tplc="1CC28172">
      <w:numFmt w:val="bullet"/>
      <w:lvlText w:val="•"/>
      <w:lvlJc w:val="left"/>
      <w:pPr>
        <w:ind w:left="1511" w:hanging="312"/>
      </w:pPr>
      <w:rPr>
        <w:rFonts w:hint="default"/>
        <w:lang w:val="ru-RU" w:eastAsia="en-US" w:bidi="ar-SA"/>
      </w:rPr>
    </w:lvl>
    <w:lvl w:ilvl="8" w:tplc="6E3C732C">
      <w:numFmt w:val="bullet"/>
      <w:lvlText w:val="•"/>
      <w:lvlJc w:val="left"/>
      <w:pPr>
        <w:ind w:left="1712" w:hanging="312"/>
      </w:pPr>
      <w:rPr>
        <w:rFonts w:hint="default"/>
        <w:lang w:val="ru-RU" w:eastAsia="en-US" w:bidi="ar-SA"/>
      </w:rPr>
    </w:lvl>
  </w:abstractNum>
  <w:abstractNum w:abstractNumId="4" w15:restartNumberingAfterBreak="0">
    <w:nsid w:val="539372E4"/>
    <w:multiLevelType w:val="hybridMultilevel"/>
    <w:tmpl w:val="EFF8A710"/>
    <w:lvl w:ilvl="0" w:tplc="926EF00E">
      <w:start w:val="1"/>
      <w:numFmt w:val="decimal"/>
      <w:lvlText w:val="%1."/>
      <w:lvlJc w:val="left"/>
      <w:pPr>
        <w:ind w:left="311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0244D72">
      <w:numFmt w:val="bullet"/>
      <w:lvlText w:val="•"/>
      <w:lvlJc w:val="left"/>
      <w:pPr>
        <w:ind w:left="499" w:hanging="202"/>
      </w:pPr>
      <w:rPr>
        <w:rFonts w:hint="default"/>
        <w:lang w:val="ru-RU" w:eastAsia="en-US" w:bidi="ar-SA"/>
      </w:rPr>
    </w:lvl>
    <w:lvl w:ilvl="2" w:tplc="6A4A3038">
      <w:numFmt w:val="bullet"/>
      <w:lvlText w:val="•"/>
      <w:lvlJc w:val="left"/>
      <w:pPr>
        <w:ind w:left="679" w:hanging="202"/>
      </w:pPr>
      <w:rPr>
        <w:rFonts w:hint="default"/>
        <w:lang w:val="ru-RU" w:eastAsia="en-US" w:bidi="ar-SA"/>
      </w:rPr>
    </w:lvl>
    <w:lvl w:ilvl="3" w:tplc="2FE4B990">
      <w:numFmt w:val="bullet"/>
      <w:lvlText w:val="•"/>
      <w:lvlJc w:val="left"/>
      <w:pPr>
        <w:ind w:left="858" w:hanging="202"/>
      </w:pPr>
      <w:rPr>
        <w:rFonts w:hint="default"/>
        <w:lang w:val="ru-RU" w:eastAsia="en-US" w:bidi="ar-SA"/>
      </w:rPr>
    </w:lvl>
    <w:lvl w:ilvl="4" w:tplc="670A75EC">
      <w:numFmt w:val="bullet"/>
      <w:lvlText w:val="•"/>
      <w:lvlJc w:val="left"/>
      <w:pPr>
        <w:ind w:left="1038" w:hanging="202"/>
      </w:pPr>
      <w:rPr>
        <w:rFonts w:hint="default"/>
        <w:lang w:val="ru-RU" w:eastAsia="en-US" w:bidi="ar-SA"/>
      </w:rPr>
    </w:lvl>
    <w:lvl w:ilvl="5" w:tplc="55A07338">
      <w:numFmt w:val="bullet"/>
      <w:lvlText w:val="•"/>
      <w:lvlJc w:val="left"/>
      <w:pPr>
        <w:ind w:left="1218" w:hanging="202"/>
      </w:pPr>
      <w:rPr>
        <w:rFonts w:hint="default"/>
        <w:lang w:val="ru-RU" w:eastAsia="en-US" w:bidi="ar-SA"/>
      </w:rPr>
    </w:lvl>
    <w:lvl w:ilvl="6" w:tplc="BFBE81EC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7" w:tplc="9DAA2AE4">
      <w:numFmt w:val="bullet"/>
      <w:lvlText w:val="•"/>
      <w:lvlJc w:val="left"/>
      <w:pPr>
        <w:ind w:left="1577" w:hanging="202"/>
      </w:pPr>
      <w:rPr>
        <w:rFonts w:hint="default"/>
        <w:lang w:val="ru-RU" w:eastAsia="en-US" w:bidi="ar-SA"/>
      </w:rPr>
    </w:lvl>
    <w:lvl w:ilvl="8" w:tplc="B8E827FC">
      <w:numFmt w:val="bullet"/>
      <w:lvlText w:val="•"/>
      <w:lvlJc w:val="left"/>
      <w:pPr>
        <w:ind w:left="1756" w:hanging="202"/>
      </w:pPr>
      <w:rPr>
        <w:rFonts w:hint="default"/>
        <w:lang w:val="ru-RU" w:eastAsia="en-US" w:bidi="ar-SA"/>
      </w:rPr>
    </w:lvl>
  </w:abstractNum>
  <w:abstractNum w:abstractNumId="5" w15:restartNumberingAfterBreak="0">
    <w:nsid w:val="59903E07"/>
    <w:multiLevelType w:val="hybridMultilevel"/>
    <w:tmpl w:val="AD227448"/>
    <w:lvl w:ilvl="0" w:tplc="912A6F90">
      <w:start w:val="1"/>
      <w:numFmt w:val="decimal"/>
      <w:lvlText w:val="%1."/>
      <w:lvlJc w:val="left"/>
      <w:pPr>
        <w:ind w:left="109" w:hanging="2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BC49FE8">
      <w:numFmt w:val="bullet"/>
      <w:lvlText w:val="•"/>
      <w:lvlJc w:val="left"/>
      <w:pPr>
        <w:ind w:left="301" w:hanging="272"/>
      </w:pPr>
      <w:rPr>
        <w:rFonts w:hint="default"/>
        <w:lang w:val="ru-RU" w:eastAsia="en-US" w:bidi="ar-SA"/>
      </w:rPr>
    </w:lvl>
    <w:lvl w:ilvl="2" w:tplc="ED5202BA">
      <w:numFmt w:val="bullet"/>
      <w:lvlText w:val="•"/>
      <w:lvlJc w:val="left"/>
      <w:pPr>
        <w:ind w:left="503" w:hanging="272"/>
      </w:pPr>
      <w:rPr>
        <w:rFonts w:hint="default"/>
        <w:lang w:val="ru-RU" w:eastAsia="en-US" w:bidi="ar-SA"/>
      </w:rPr>
    </w:lvl>
    <w:lvl w:ilvl="3" w:tplc="E4BEF2C2">
      <w:numFmt w:val="bullet"/>
      <w:lvlText w:val="•"/>
      <w:lvlJc w:val="left"/>
      <w:pPr>
        <w:ind w:left="704" w:hanging="272"/>
      </w:pPr>
      <w:rPr>
        <w:rFonts w:hint="default"/>
        <w:lang w:val="ru-RU" w:eastAsia="en-US" w:bidi="ar-SA"/>
      </w:rPr>
    </w:lvl>
    <w:lvl w:ilvl="4" w:tplc="ACB8A7C4">
      <w:numFmt w:val="bullet"/>
      <w:lvlText w:val="•"/>
      <w:lvlJc w:val="left"/>
      <w:pPr>
        <w:ind w:left="906" w:hanging="272"/>
      </w:pPr>
      <w:rPr>
        <w:rFonts w:hint="default"/>
        <w:lang w:val="ru-RU" w:eastAsia="en-US" w:bidi="ar-SA"/>
      </w:rPr>
    </w:lvl>
    <w:lvl w:ilvl="5" w:tplc="9AC61DE6">
      <w:numFmt w:val="bullet"/>
      <w:lvlText w:val="•"/>
      <w:lvlJc w:val="left"/>
      <w:pPr>
        <w:ind w:left="1108" w:hanging="272"/>
      </w:pPr>
      <w:rPr>
        <w:rFonts w:hint="default"/>
        <w:lang w:val="ru-RU" w:eastAsia="en-US" w:bidi="ar-SA"/>
      </w:rPr>
    </w:lvl>
    <w:lvl w:ilvl="6" w:tplc="873C798A">
      <w:numFmt w:val="bullet"/>
      <w:lvlText w:val="•"/>
      <w:lvlJc w:val="left"/>
      <w:pPr>
        <w:ind w:left="1309" w:hanging="272"/>
      </w:pPr>
      <w:rPr>
        <w:rFonts w:hint="default"/>
        <w:lang w:val="ru-RU" w:eastAsia="en-US" w:bidi="ar-SA"/>
      </w:rPr>
    </w:lvl>
    <w:lvl w:ilvl="7" w:tplc="395ABE76">
      <w:numFmt w:val="bullet"/>
      <w:lvlText w:val="•"/>
      <w:lvlJc w:val="left"/>
      <w:pPr>
        <w:ind w:left="1511" w:hanging="272"/>
      </w:pPr>
      <w:rPr>
        <w:rFonts w:hint="default"/>
        <w:lang w:val="ru-RU" w:eastAsia="en-US" w:bidi="ar-SA"/>
      </w:rPr>
    </w:lvl>
    <w:lvl w:ilvl="8" w:tplc="53E84A84">
      <w:numFmt w:val="bullet"/>
      <w:lvlText w:val="•"/>
      <w:lvlJc w:val="left"/>
      <w:pPr>
        <w:ind w:left="1712" w:hanging="272"/>
      </w:pPr>
      <w:rPr>
        <w:rFonts w:hint="default"/>
        <w:lang w:val="ru-RU" w:eastAsia="en-US" w:bidi="ar-SA"/>
      </w:rPr>
    </w:lvl>
  </w:abstractNum>
  <w:abstractNum w:abstractNumId="6" w15:restartNumberingAfterBreak="0">
    <w:nsid w:val="677E14B6"/>
    <w:multiLevelType w:val="hybridMultilevel"/>
    <w:tmpl w:val="6C44CDF2"/>
    <w:lvl w:ilvl="0" w:tplc="37A65DF2">
      <w:start w:val="1"/>
      <w:numFmt w:val="decimal"/>
      <w:lvlText w:val="%1."/>
      <w:lvlJc w:val="left"/>
      <w:pPr>
        <w:ind w:left="10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916EA3EE">
      <w:numFmt w:val="bullet"/>
      <w:lvlText w:val="•"/>
      <w:lvlJc w:val="left"/>
      <w:pPr>
        <w:ind w:left="301" w:hanging="202"/>
      </w:pPr>
      <w:rPr>
        <w:rFonts w:hint="default"/>
        <w:lang w:val="ru-RU" w:eastAsia="en-US" w:bidi="ar-SA"/>
      </w:rPr>
    </w:lvl>
    <w:lvl w:ilvl="2" w:tplc="642C5152">
      <w:numFmt w:val="bullet"/>
      <w:lvlText w:val="•"/>
      <w:lvlJc w:val="left"/>
      <w:pPr>
        <w:ind w:left="503" w:hanging="202"/>
      </w:pPr>
      <w:rPr>
        <w:rFonts w:hint="default"/>
        <w:lang w:val="ru-RU" w:eastAsia="en-US" w:bidi="ar-SA"/>
      </w:rPr>
    </w:lvl>
    <w:lvl w:ilvl="3" w:tplc="350449E8">
      <w:numFmt w:val="bullet"/>
      <w:lvlText w:val="•"/>
      <w:lvlJc w:val="left"/>
      <w:pPr>
        <w:ind w:left="704" w:hanging="202"/>
      </w:pPr>
      <w:rPr>
        <w:rFonts w:hint="default"/>
        <w:lang w:val="ru-RU" w:eastAsia="en-US" w:bidi="ar-SA"/>
      </w:rPr>
    </w:lvl>
    <w:lvl w:ilvl="4" w:tplc="DA34790A">
      <w:numFmt w:val="bullet"/>
      <w:lvlText w:val="•"/>
      <w:lvlJc w:val="left"/>
      <w:pPr>
        <w:ind w:left="906" w:hanging="202"/>
      </w:pPr>
      <w:rPr>
        <w:rFonts w:hint="default"/>
        <w:lang w:val="ru-RU" w:eastAsia="en-US" w:bidi="ar-SA"/>
      </w:rPr>
    </w:lvl>
    <w:lvl w:ilvl="5" w:tplc="11A67536">
      <w:numFmt w:val="bullet"/>
      <w:lvlText w:val="•"/>
      <w:lvlJc w:val="left"/>
      <w:pPr>
        <w:ind w:left="1108" w:hanging="202"/>
      </w:pPr>
      <w:rPr>
        <w:rFonts w:hint="default"/>
        <w:lang w:val="ru-RU" w:eastAsia="en-US" w:bidi="ar-SA"/>
      </w:rPr>
    </w:lvl>
    <w:lvl w:ilvl="6" w:tplc="3E6C386C">
      <w:numFmt w:val="bullet"/>
      <w:lvlText w:val="•"/>
      <w:lvlJc w:val="left"/>
      <w:pPr>
        <w:ind w:left="1309" w:hanging="202"/>
      </w:pPr>
      <w:rPr>
        <w:rFonts w:hint="default"/>
        <w:lang w:val="ru-RU" w:eastAsia="en-US" w:bidi="ar-SA"/>
      </w:rPr>
    </w:lvl>
    <w:lvl w:ilvl="7" w:tplc="FE5CC282">
      <w:numFmt w:val="bullet"/>
      <w:lvlText w:val="•"/>
      <w:lvlJc w:val="left"/>
      <w:pPr>
        <w:ind w:left="1511" w:hanging="202"/>
      </w:pPr>
      <w:rPr>
        <w:rFonts w:hint="default"/>
        <w:lang w:val="ru-RU" w:eastAsia="en-US" w:bidi="ar-SA"/>
      </w:rPr>
    </w:lvl>
    <w:lvl w:ilvl="8" w:tplc="924AC626">
      <w:numFmt w:val="bullet"/>
      <w:lvlText w:val="•"/>
      <w:lvlJc w:val="left"/>
      <w:pPr>
        <w:ind w:left="1712" w:hanging="202"/>
      </w:pPr>
      <w:rPr>
        <w:rFonts w:hint="default"/>
        <w:lang w:val="ru-RU" w:eastAsia="en-US" w:bidi="ar-SA"/>
      </w:rPr>
    </w:lvl>
  </w:abstractNum>
  <w:abstractNum w:abstractNumId="7" w15:restartNumberingAfterBreak="0">
    <w:nsid w:val="6E4D4BB2"/>
    <w:multiLevelType w:val="hybridMultilevel"/>
    <w:tmpl w:val="66901838"/>
    <w:lvl w:ilvl="0" w:tplc="693A3430">
      <w:start w:val="1"/>
      <w:numFmt w:val="decimal"/>
      <w:lvlText w:val="%1."/>
      <w:lvlJc w:val="left"/>
      <w:pPr>
        <w:ind w:left="10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EDA08D0">
      <w:numFmt w:val="bullet"/>
      <w:lvlText w:val="•"/>
      <w:lvlJc w:val="left"/>
      <w:pPr>
        <w:ind w:left="301" w:hanging="202"/>
      </w:pPr>
      <w:rPr>
        <w:rFonts w:hint="default"/>
        <w:lang w:val="ru-RU" w:eastAsia="en-US" w:bidi="ar-SA"/>
      </w:rPr>
    </w:lvl>
    <w:lvl w:ilvl="2" w:tplc="700840A0">
      <w:numFmt w:val="bullet"/>
      <w:lvlText w:val="•"/>
      <w:lvlJc w:val="left"/>
      <w:pPr>
        <w:ind w:left="503" w:hanging="202"/>
      </w:pPr>
      <w:rPr>
        <w:rFonts w:hint="default"/>
        <w:lang w:val="ru-RU" w:eastAsia="en-US" w:bidi="ar-SA"/>
      </w:rPr>
    </w:lvl>
    <w:lvl w:ilvl="3" w:tplc="9EEAF352">
      <w:numFmt w:val="bullet"/>
      <w:lvlText w:val="•"/>
      <w:lvlJc w:val="left"/>
      <w:pPr>
        <w:ind w:left="704" w:hanging="202"/>
      </w:pPr>
      <w:rPr>
        <w:rFonts w:hint="default"/>
        <w:lang w:val="ru-RU" w:eastAsia="en-US" w:bidi="ar-SA"/>
      </w:rPr>
    </w:lvl>
    <w:lvl w:ilvl="4" w:tplc="38D6F86A">
      <w:numFmt w:val="bullet"/>
      <w:lvlText w:val="•"/>
      <w:lvlJc w:val="left"/>
      <w:pPr>
        <w:ind w:left="906" w:hanging="202"/>
      </w:pPr>
      <w:rPr>
        <w:rFonts w:hint="default"/>
        <w:lang w:val="ru-RU" w:eastAsia="en-US" w:bidi="ar-SA"/>
      </w:rPr>
    </w:lvl>
    <w:lvl w:ilvl="5" w:tplc="B53EA312">
      <w:numFmt w:val="bullet"/>
      <w:lvlText w:val="•"/>
      <w:lvlJc w:val="left"/>
      <w:pPr>
        <w:ind w:left="1108" w:hanging="202"/>
      </w:pPr>
      <w:rPr>
        <w:rFonts w:hint="default"/>
        <w:lang w:val="ru-RU" w:eastAsia="en-US" w:bidi="ar-SA"/>
      </w:rPr>
    </w:lvl>
    <w:lvl w:ilvl="6" w:tplc="71F8DA38">
      <w:numFmt w:val="bullet"/>
      <w:lvlText w:val="•"/>
      <w:lvlJc w:val="left"/>
      <w:pPr>
        <w:ind w:left="1309" w:hanging="202"/>
      </w:pPr>
      <w:rPr>
        <w:rFonts w:hint="default"/>
        <w:lang w:val="ru-RU" w:eastAsia="en-US" w:bidi="ar-SA"/>
      </w:rPr>
    </w:lvl>
    <w:lvl w:ilvl="7" w:tplc="2C147A00">
      <w:numFmt w:val="bullet"/>
      <w:lvlText w:val="•"/>
      <w:lvlJc w:val="left"/>
      <w:pPr>
        <w:ind w:left="1511" w:hanging="202"/>
      </w:pPr>
      <w:rPr>
        <w:rFonts w:hint="default"/>
        <w:lang w:val="ru-RU" w:eastAsia="en-US" w:bidi="ar-SA"/>
      </w:rPr>
    </w:lvl>
    <w:lvl w:ilvl="8" w:tplc="F6F80E02">
      <w:numFmt w:val="bullet"/>
      <w:lvlText w:val="•"/>
      <w:lvlJc w:val="left"/>
      <w:pPr>
        <w:ind w:left="1712" w:hanging="20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B21"/>
    <w:rsid w:val="00025F10"/>
    <w:rsid w:val="00045C48"/>
    <w:rsid w:val="00054719"/>
    <w:rsid w:val="000843AC"/>
    <w:rsid w:val="00090CE1"/>
    <w:rsid w:val="000A1D61"/>
    <w:rsid w:val="000C00DD"/>
    <w:rsid w:val="000F30EF"/>
    <w:rsid w:val="00100D91"/>
    <w:rsid w:val="00147A2A"/>
    <w:rsid w:val="00192A42"/>
    <w:rsid w:val="0019545C"/>
    <w:rsid w:val="001C4DFC"/>
    <w:rsid w:val="001F70A1"/>
    <w:rsid w:val="0020549E"/>
    <w:rsid w:val="00205667"/>
    <w:rsid w:val="00217D4B"/>
    <w:rsid w:val="00235A8F"/>
    <w:rsid w:val="00240CA6"/>
    <w:rsid w:val="002478A4"/>
    <w:rsid w:val="00260892"/>
    <w:rsid w:val="00260BF7"/>
    <w:rsid w:val="0029374D"/>
    <w:rsid w:val="002C7553"/>
    <w:rsid w:val="00301765"/>
    <w:rsid w:val="003328B3"/>
    <w:rsid w:val="003430CA"/>
    <w:rsid w:val="00350443"/>
    <w:rsid w:val="00351EE3"/>
    <w:rsid w:val="00362627"/>
    <w:rsid w:val="0037049C"/>
    <w:rsid w:val="00375910"/>
    <w:rsid w:val="003B1A4D"/>
    <w:rsid w:val="003B2F73"/>
    <w:rsid w:val="003D2763"/>
    <w:rsid w:val="003F4B88"/>
    <w:rsid w:val="00404BC4"/>
    <w:rsid w:val="00416BF5"/>
    <w:rsid w:val="00421167"/>
    <w:rsid w:val="00423BD3"/>
    <w:rsid w:val="00465B1E"/>
    <w:rsid w:val="00473C82"/>
    <w:rsid w:val="00476592"/>
    <w:rsid w:val="00493DF1"/>
    <w:rsid w:val="004E5AA0"/>
    <w:rsid w:val="0054687A"/>
    <w:rsid w:val="00552BDF"/>
    <w:rsid w:val="00556C53"/>
    <w:rsid w:val="0056093C"/>
    <w:rsid w:val="005A52D7"/>
    <w:rsid w:val="00632945"/>
    <w:rsid w:val="006602B3"/>
    <w:rsid w:val="00696A97"/>
    <w:rsid w:val="006B1BA5"/>
    <w:rsid w:val="006D4275"/>
    <w:rsid w:val="006E7F1B"/>
    <w:rsid w:val="007121F3"/>
    <w:rsid w:val="00713914"/>
    <w:rsid w:val="00785563"/>
    <w:rsid w:val="007A3860"/>
    <w:rsid w:val="007A6154"/>
    <w:rsid w:val="007B5FCB"/>
    <w:rsid w:val="007C1D84"/>
    <w:rsid w:val="007F4D2C"/>
    <w:rsid w:val="00803DA8"/>
    <w:rsid w:val="008304F4"/>
    <w:rsid w:val="00855433"/>
    <w:rsid w:val="0086588B"/>
    <w:rsid w:val="008A0079"/>
    <w:rsid w:val="008C0490"/>
    <w:rsid w:val="008E525E"/>
    <w:rsid w:val="008E6C45"/>
    <w:rsid w:val="00902861"/>
    <w:rsid w:val="009127B4"/>
    <w:rsid w:val="00931CFA"/>
    <w:rsid w:val="009328EA"/>
    <w:rsid w:val="009461A5"/>
    <w:rsid w:val="00964E3A"/>
    <w:rsid w:val="00965B26"/>
    <w:rsid w:val="009B0DA8"/>
    <w:rsid w:val="009B6C08"/>
    <w:rsid w:val="009C5BC7"/>
    <w:rsid w:val="00A422A9"/>
    <w:rsid w:val="00AB7756"/>
    <w:rsid w:val="00AC2EC6"/>
    <w:rsid w:val="00AF6477"/>
    <w:rsid w:val="00B230A9"/>
    <w:rsid w:val="00B32EF0"/>
    <w:rsid w:val="00B57B1C"/>
    <w:rsid w:val="00B61B76"/>
    <w:rsid w:val="00B86717"/>
    <w:rsid w:val="00C00372"/>
    <w:rsid w:val="00C02349"/>
    <w:rsid w:val="00C04CAE"/>
    <w:rsid w:val="00C2158B"/>
    <w:rsid w:val="00C367D8"/>
    <w:rsid w:val="00C65466"/>
    <w:rsid w:val="00CA260C"/>
    <w:rsid w:val="00CD1E5E"/>
    <w:rsid w:val="00D4339D"/>
    <w:rsid w:val="00D57879"/>
    <w:rsid w:val="00D936F5"/>
    <w:rsid w:val="00DB1B98"/>
    <w:rsid w:val="00DD1FB2"/>
    <w:rsid w:val="00E066FA"/>
    <w:rsid w:val="00E21679"/>
    <w:rsid w:val="00EB4A6F"/>
    <w:rsid w:val="00EB4E77"/>
    <w:rsid w:val="00EC0B21"/>
    <w:rsid w:val="00EC7E62"/>
    <w:rsid w:val="00F566A1"/>
    <w:rsid w:val="00F76207"/>
    <w:rsid w:val="00F775E8"/>
    <w:rsid w:val="00F81B5B"/>
    <w:rsid w:val="00FA1A4F"/>
    <w:rsid w:val="00FB5BFF"/>
    <w:rsid w:val="00FB7F48"/>
    <w:rsid w:val="00FC21B4"/>
    <w:rsid w:val="00FE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774E016"/>
  <w15:docId w15:val="{7CDD34F3-99ED-433C-BF6E-7D8EF839B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461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461A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461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61A5"/>
    <w:rPr>
      <w:rFonts w:ascii="Times New Roman" w:eastAsia="Times New Roman" w:hAnsi="Times New Roman" w:cs="Times New Roman"/>
      <w:lang w:val="ru-RU"/>
    </w:rPr>
  </w:style>
  <w:style w:type="character" w:styleId="aa">
    <w:name w:val="Hyperlink"/>
    <w:basedOn w:val="a0"/>
    <w:uiPriority w:val="99"/>
    <w:unhideWhenUsed/>
    <w:rsid w:val="00C65466"/>
    <w:rPr>
      <w:color w:val="0000FF" w:themeColor="hyperlink"/>
      <w:u w:val="single"/>
    </w:rPr>
  </w:style>
  <w:style w:type="paragraph" w:customStyle="1" w:styleId="Default">
    <w:name w:val="Default"/>
    <w:rsid w:val="00EB4A6F"/>
    <w:pPr>
      <w:widowControl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855433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3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FB73B-55D1-492B-BBF4-8CB78D997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18</Pages>
  <Words>2155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/>
  <LinksUpToDate>false</LinksUpToDate>
  <CharactersWithSpaces>14417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32</cp:revision>
  <dcterms:created xsi:type="dcterms:W3CDTF">2024-04-27T00:01:00Z</dcterms:created>
  <dcterms:modified xsi:type="dcterms:W3CDTF">2024-05-28T06:01:00Z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2024-03-29T00:00:00Z</vt:filetime>
  </property>
  <property fmtid="{D5CDD505-2E9C-101B-9397-08002B2CF9AE}" pid="5" name="Producer">
    <vt:lpwstr>Microsoft® Word 2016</vt:lpwstr>
  </property>
</Properties>
</file>